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D8E" w:rsidRPr="00183657" w:rsidRDefault="00D51FEF" w:rsidP="00D51FEF">
      <w:pPr>
        <w:suppressAutoHyphens/>
        <w:ind w:left="284"/>
        <w:jc w:val="right"/>
        <w:rPr>
          <w:rFonts w:ascii="Century Gothic" w:hAnsi="Century Gothic"/>
          <w:b/>
          <w:sz w:val="20"/>
        </w:rPr>
      </w:pPr>
      <w:r w:rsidRPr="00183657">
        <w:rPr>
          <w:rFonts w:ascii="Century Gothic" w:hAnsi="Century Gothic"/>
          <w:b/>
          <w:sz w:val="20"/>
        </w:rPr>
        <w:t>Annexe 1</w:t>
      </w:r>
    </w:p>
    <w:p w:rsidR="00D51FEF" w:rsidRPr="00183657" w:rsidRDefault="00D51FEF" w:rsidP="00D51FEF">
      <w:pPr>
        <w:suppressAutoHyphens/>
        <w:ind w:left="284"/>
        <w:jc w:val="right"/>
        <w:rPr>
          <w:rFonts w:ascii="Century Gothic" w:hAnsi="Century Gothic"/>
          <w:b/>
          <w:sz w:val="20"/>
        </w:rPr>
      </w:pPr>
    </w:p>
    <w:p w:rsidR="002B0D8E" w:rsidRPr="00183657" w:rsidRDefault="00972B65" w:rsidP="00972B6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Century Gothic" w:hAnsi="Century Gothic"/>
          <w:b/>
          <w:sz w:val="24"/>
          <w:szCs w:val="24"/>
        </w:rPr>
      </w:pPr>
      <w:r w:rsidRPr="00183657">
        <w:rPr>
          <w:rFonts w:ascii="Century Gothic" w:hAnsi="Century Gothic"/>
          <w:b/>
          <w:sz w:val="24"/>
          <w:szCs w:val="24"/>
        </w:rPr>
        <w:t>MISSIONS D</w:t>
      </w:r>
      <w:r w:rsidR="00183657">
        <w:rPr>
          <w:rFonts w:ascii="Century Gothic" w:hAnsi="Century Gothic"/>
          <w:b/>
          <w:sz w:val="24"/>
          <w:szCs w:val="24"/>
        </w:rPr>
        <w:t xml:space="preserve">E LA </w:t>
      </w:r>
      <w:r w:rsidRPr="00183657">
        <w:rPr>
          <w:rFonts w:ascii="Century Gothic" w:hAnsi="Century Gothic"/>
          <w:b/>
          <w:sz w:val="24"/>
          <w:szCs w:val="24"/>
        </w:rPr>
        <w:t>CCATM</w:t>
      </w:r>
    </w:p>
    <w:p w:rsidR="002B0D8E" w:rsidRPr="00183657" w:rsidRDefault="002B0D8E" w:rsidP="002B0D8E">
      <w:pPr>
        <w:suppressAutoHyphens/>
        <w:jc w:val="both"/>
        <w:rPr>
          <w:rFonts w:ascii="Century Gothic" w:hAnsi="Century Gothic"/>
          <w:sz w:val="20"/>
        </w:rPr>
      </w:pPr>
    </w:p>
    <w:p w:rsidR="002B0D8E" w:rsidRPr="00183657" w:rsidRDefault="002B0D8E" w:rsidP="002B0D8E">
      <w:pPr>
        <w:suppressAutoHyphens/>
        <w:jc w:val="both"/>
        <w:rPr>
          <w:rFonts w:ascii="Century Gothic" w:hAnsi="Century Gothic" w:cs="Arial"/>
          <w:i/>
          <w:szCs w:val="22"/>
        </w:rPr>
      </w:pPr>
      <w:r w:rsidRPr="00183657">
        <w:rPr>
          <w:rFonts w:ascii="Century Gothic" w:hAnsi="Century Gothic" w:cs="Arial"/>
          <w:i/>
          <w:szCs w:val="22"/>
          <w:u w:val="single"/>
        </w:rPr>
        <w:t>Références légales</w:t>
      </w:r>
      <w:r w:rsidRPr="00183657">
        <w:rPr>
          <w:rFonts w:ascii="Century Gothic" w:hAnsi="Century Gothic" w:cs="Arial"/>
          <w:i/>
          <w:szCs w:val="22"/>
        </w:rPr>
        <w:t xml:space="preserve"> : </w:t>
      </w:r>
    </w:p>
    <w:p w:rsidR="002B0D8E" w:rsidRPr="00183657" w:rsidRDefault="002B0D8E" w:rsidP="002B0D8E">
      <w:pPr>
        <w:suppressAutoHyphens/>
        <w:jc w:val="both"/>
        <w:rPr>
          <w:rFonts w:ascii="Century Gothic" w:hAnsi="Century Gothic" w:cs="Arial"/>
          <w:i/>
          <w:szCs w:val="22"/>
        </w:rPr>
      </w:pPr>
    </w:p>
    <w:p w:rsidR="002B0D8E" w:rsidRPr="00183657" w:rsidRDefault="002B0D8E" w:rsidP="002B0D8E">
      <w:pPr>
        <w:numPr>
          <w:ilvl w:val="0"/>
          <w:numId w:val="1"/>
        </w:numPr>
        <w:suppressAutoHyphens/>
        <w:ind w:left="284" w:hanging="284"/>
        <w:jc w:val="both"/>
        <w:rPr>
          <w:rFonts w:ascii="Century Gothic" w:hAnsi="Century Gothic" w:cs="Arial"/>
          <w:i/>
          <w:szCs w:val="22"/>
        </w:rPr>
      </w:pPr>
      <w:r w:rsidRPr="00183657">
        <w:rPr>
          <w:rFonts w:ascii="Century Gothic" w:hAnsi="Century Gothic" w:cs="Arial"/>
          <w:i/>
          <w:szCs w:val="22"/>
        </w:rPr>
        <w:t>Livre 1</w:t>
      </w:r>
      <w:r w:rsidRPr="00183657">
        <w:rPr>
          <w:rFonts w:ascii="Century Gothic" w:hAnsi="Century Gothic" w:cs="Arial"/>
          <w:i/>
          <w:szCs w:val="22"/>
          <w:vertAlign w:val="superscript"/>
        </w:rPr>
        <w:t>er</w:t>
      </w:r>
      <w:r w:rsidRPr="00183657">
        <w:rPr>
          <w:rFonts w:ascii="Century Gothic" w:hAnsi="Century Gothic" w:cs="Arial"/>
          <w:i/>
          <w:szCs w:val="22"/>
        </w:rPr>
        <w:t xml:space="preserve"> – Titre 1</w:t>
      </w:r>
      <w:r w:rsidRPr="00183657">
        <w:rPr>
          <w:rFonts w:ascii="Century Gothic" w:hAnsi="Century Gothic" w:cs="Arial"/>
          <w:i/>
          <w:szCs w:val="22"/>
          <w:vertAlign w:val="superscript"/>
        </w:rPr>
        <w:t>er</w:t>
      </w:r>
      <w:r w:rsidRPr="00183657">
        <w:rPr>
          <w:rFonts w:ascii="Century Gothic" w:hAnsi="Century Gothic" w:cs="Arial"/>
          <w:i/>
          <w:szCs w:val="22"/>
        </w:rPr>
        <w:t xml:space="preserve"> - Chapitre 3 – section 3 du Code de développement territorial (</w:t>
      </w:r>
      <w:proofErr w:type="spellStart"/>
      <w:r w:rsidRPr="00183657">
        <w:rPr>
          <w:rFonts w:ascii="Century Gothic" w:hAnsi="Century Gothic" w:cs="Arial"/>
          <w:i/>
          <w:szCs w:val="22"/>
        </w:rPr>
        <w:t>CoDT</w:t>
      </w:r>
      <w:proofErr w:type="spellEnd"/>
      <w:r w:rsidRPr="00183657">
        <w:rPr>
          <w:rFonts w:ascii="Century Gothic" w:hAnsi="Century Gothic" w:cs="Arial"/>
          <w:i/>
          <w:szCs w:val="22"/>
        </w:rPr>
        <w:t>)</w:t>
      </w:r>
    </w:p>
    <w:p w:rsidR="002B0D8E" w:rsidRPr="00183657" w:rsidRDefault="002B0D8E" w:rsidP="002B0D8E">
      <w:pPr>
        <w:numPr>
          <w:ilvl w:val="0"/>
          <w:numId w:val="1"/>
        </w:numPr>
        <w:suppressAutoHyphens/>
        <w:ind w:left="284" w:hanging="284"/>
        <w:jc w:val="both"/>
        <w:rPr>
          <w:rFonts w:ascii="Century Gothic" w:hAnsi="Century Gothic" w:cs="Arial"/>
          <w:i/>
          <w:szCs w:val="22"/>
        </w:rPr>
      </w:pPr>
      <w:r w:rsidRPr="00183657">
        <w:rPr>
          <w:rFonts w:ascii="Century Gothic" w:hAnsi="Century Gothic" w:cs="Arial"/>
          <w:i/>
          <w:szCs w:val="22"/>
        </w:rPr>
        <w:t xml:space="preserve">Tous les articles mentionnés ci-dessous font référence au </w:t>
      </w:r>
      <w:proofErr w:type="spellStart"/>
      <w:r w:rsidRPr="00183657">
        <w:rPr>
          <w:rFonts w:ascii="Century Gothic" w:hAnsi="Century Gothic" w:cs="Arial"/>
          <w:i/>
          <w:szCs w:val="22"/>
        </w:rPr>
        <w:t>CoDT</w:t>
      </w:r>
      <w:proofErr w:type="spellEnd"/>
      <w:r w:rsidRPr="00183657">
        <w:rPr>
          <w:rFonts w:ascii="Century Gothic" w:hAnsi="Century Gothic" w:cs="Arial"/>
          <w:i/>
          <w:szCs w:val="22"/>
        </w:rPr>
        <w:t>, sauf mention spécifique (Code de l’environnement, …)</w:t>
      </w:r>
    </w:p>
    <w:p w:rsidR="002B0D8E" w:rsidRPr="00183657" w:rsidRDefault="002B0D8E" w:rsidP="002B0D8E">
      <w:pPr>
        <w:pStyle w:val="Corpsdetexte"/>
        <w:tabs>
          <w:tab w:val="clear" w:pos="0"/>
          <w:tab w:val="left" w:pos="708"/>
        </w:tabs>
        <w:suppressAutoHyphens/>
        <w:rPr>
          <w:rFonts w:ascii="Century Gothic" w:hAnsi="Century Gothic"/>
          <w:sz w:val="22"/>
          <w:szCs w:val="22"/>
        </w:rPr>
      </w:pPr>
    </w:p>
    <w:p w:rsidR="002B0D8E" w:rsidRPr="00183657" w:rsidRDefault="002B0D8E" w:rsidP="002B0D8E">
      <w:pPr>
        <w:pStyle w:val="Corpsdetexte"/>
        <w:tabs>
          <w:tab w:val="clear" w:pos="0"/>
          <w:tab w:val="left" w:pos="708"/>
        </w:tabs>
        <w:suppressAutoHyphens/>
        <w:rPr>
          <w:rFonts w:ascii="Century Gothic" w:hAnsi="Century Gothic"/>
          <w:sz w:val="22"/>
          <w:szCs w:val="22"/>
        </w:rPr>
      </w:pPr>
      <w:r w:rsidRPr="00183657">
        <w:rPr>
          <w:rFonts w:ascii="Century Gothic" w:hAnsi="Century Gothic"/>
          <w:sz w:val="22"/>
          <w:szCs w:val="22"/>
        </w:rPr>
        <w:t>La CCATM doit être consultée de manière obligatoire dans certains cas, dans d’autres cas, son avis est facultatif. Elle peut aussi émettre des avis d’initiative.</w:t>
      </w:r>
    </w:p>
    <w:p w:rsidR="002B0D8E" w:rsidRPr="00183657" w:rsidRDefault="002B0D8E" w:rsidP="002B0D8E">
      <w:pPr>
        <w:pStyle w:val="Corpsdetexte"/>
        <w:tabs>
          <w:tab w:val="clear" w:pos="0"/>
          <w:tab w:val="left" w:pos="708"/>
        </w:tabs>
        <w:suppressAutoHyphens/>
        <w:rPr>
          <w:rFonts w:ascii="Century Gothic" w:hAnsi="Century Gothic"/>
          <w:sz w:val="22"/>
          <w:szCs w:val="22"/>
          <w:highlight w:val="yellow"/>
        </w:rPr>
      </w:pPr>
    </w:p>
    <w:p w:rsidR="002B0D8E" w:rsidRPr="00183657" w:rsidRDefault="002B0D8E" w:rsidP="002B0D8E">
      <w:pPr>
        <w:pStyle w:val="Corpsdetexte"/>
        <w:tabs>
          <w:tab w:val="clear" w:pos="0"/>
          <w:tab w:val="left" w:pos="708"/>
        </w:tabs>
        <w:suppressAutoHyphens/>
        <w:rPr>
          <w:rFonts w:ascii="Century Gothic" w:hAnsi="Century Gothic"/>
          <w:sz w:val="22"/>
          <w:szCs w:val="22"/>
          <w:highlight w:val="yellow"/>
        </w:rPr>
      </w:pPr>
    </w:p>
    <w:p w:rsidR="002B0D8E" w:rsidRPr="00183657" w:rsidRDefault="002B0D8E" w:rsidP="002B0D8E">
      <w:pPr>
        <w:pStyle w:val="Paragraphedeliste"/>
        <w:numPr>
          <w:ilvl w:val="0"/>
          <w:numId w:val="2"/>
        </w:numPr>
        <w:suppressAutoHyphens/>
        <w:contextualSpacing w:val="0"/>
        <w:jc w:val="both"/>
        <w:rPr>
          <w:rFonts w:ascii="Century Gothic" w:hAnsi="Century Gothic" w:cs="Arial"/>
          <w:b/>
          <w:caps/>
          <w:szCs w:val="22"/>
          <w:u w:val="single"/>
        </w:rPr>
      </w:pPr>
      <w:r w:rsidRPr="00183657">
        <w:rPr>
          <w:rFonts w:ascii="Century Gothic" w:hAnsi="Century Gothic" w:cs="Arial"/>
          <w:b/>
          <w:caps/>
          <w:szCs w:val="22"/>
          <w:u w:val="single"/>
        </w:rPr>
        <w:t xml:space="preserve">Consultation ou intervention obligatoire : </w:t>
      </w:r>
    </w:p>
    <w:p w:rsidR="002B0D8E" w:rsidRPr="00183657" w:rsidRDefault="002B0D8E" w:rsidP="002B0D8E">
      <w:pPr>
        <w:suppressAutoHyphens/>
        <w:jc w:val="both"/>
        <w:rPr>
          <w:rFonts w:ascii="Century Gothic" w:hAnsi="Century Gothic" w:cs="Arial"/>
          <w:szCs w:val="22"/>
        </w:rPr>
      </w:pPr>
    </w:p>
    <w:p w:rsidR="002B0D8E" w:rsidRPr="00183657" w:rsidRDefault="002B0D8E" w:rsidP="002B0D8E">
      <w:pPr>
        <w:numPr>
          <w:ilvl w:val="0"/>
          <w:numId w:val="3"/>
        </w:numPr>
        <w:shd w:val="pct12" w:color="auto" w:fill="auto"/>
        <w:suppressAutoHyphens/>
        <w:ind w:left="709" w:hanging="709"/>
        <w:jc w:val="both"/>
        <w:rPr>
          <w:rFonts w:ascii="Century Gothic" w:hAnsi="Century Gothic" w:cs="Arial"/>
          <w:b/>
          <w:szCs w:val="22"/>
        </w:rPr>
      </w:pPr>
      <w:r w:rsidRPr="00183657">
        <w:rPr>
          <w:rFonts w:ascii="Century Gothic" w:hAnsi="Century Gothic" w:cs="Arial"/>
          <w:b/>
          <w:szCs w:val="22"/>
        </w:rPr>
        <w:t>Documents d’aménagement </w:t>
      </w:r>
    </w:p>
    <w:p w:rsidR="002B0D8E" w:rsidRPr="00183657" w:rsidRDefault="002B0D8E" w:rsidP="002B0D8E">
      <w:pPr>
        <w:suppressAutoHyphens/>
        <w:ind w:left="644"/>
        <w:jc w:val="both"/>
        <w:rPr>
          <w:rFonts w:ascii="Century Gothic" w:hAnsi="Century Gothic" w:cs="Arial"/>
          <w:szCs w:val="22"/>
        </w:rPr>
      </w:pPr>
    </w:p>
    <w:p w:rsidR="002B0D8E" w:rsidRPr="00183657" w:rsidRDefault="002B0D8E" w:rsidP="002B0D8E">
      <w:pPr>
        <w:numPr>
          <w:ilvl w:val="0"/>
          <w:numId w:val="4"/>
        </w:numPr>
        <w:suppressAutoHyphens/>
        <w:ind w:left="284" w:hanging="284"/>
        <w:jc w:val="both"/>
        <w:rPr>
          <w:rFonts w:ascii="Century Gothic" w:hAnsi="Century Gothic" w:cs="Arial"/>
          <w:szCs w:val="22"/>
          <w:u w:val="single"/>
        </w:rPr>
      </w:pPr>
      <w:r w:rsidRPr="00183657">
        <w:rPr>
          <w:rFonts w:ascii="Century Gothic" w:hAnsi="Century Gothic" w:cs="Arial"/>
          <w:szCs w:val="22"/>
          <w:u w:val="single"/>
        </w:rPr>
        <w:t xml:space="preserve">Schéma de développement </w:t>
      </w:r>
      <w:proofErr w:type="spellStart"/>
      <w:r w:rsidRPr="00183657">
        <w:rPr>
          <w:rFonts w:ascii="Century Gothic" w:hAnsi="Century Gothic" w:cs="Arial"/>
          <w:szCs w:val="22"/>
          <w:u w:val="single"/>
        </w:rPr>
        <w:t>pluricommunal</w:t>
      </w:r>
      <w:proofErr w:type="spellEnd"/>
      <w:r w:rsidRPr="00183657">
        <w:rPr>
          <w:rFonts w:ascii="Century Gothic" w:hAnsi="Century Gothic" w:cs="Arial"/>
          <w:szCs w:val="22"/>
          <w:u w:val="single"/>
        </w:rPr>
        <w:t xml:space="preserve">  (SDP)</w:t>
      </w:r>
    </w:p>
    <w:p w:rsidR="002B0D8E" w:rsidRPr="00183657" w:rsidRDefault="002B0D8E" w:rsidP="002B0D8E">
      <w:pPr>
        <w:numPr>
          <w:ilvl w:val="0"/>
          <w:numId w:val="5"/>
        </w:numPr>
        <w:suppressAutoHyphens/>
        <w:jc w:val="both"/>
        <w:rPr>
          <w:rFonts w:ascii="Century Gothic" w:hAnsi="Century Gothic" w:cs="Arial"/>
          <w:szCs w:val="22"/>
        </w:rPr>
      </w:pPr>
      <w:r w:rsidRPr="00183657">
        <w:rPr>
          <w:rFonts w:ascii="Century Gothic" w:hAnsi="Century Gothic" w:cs="Arial"/>
          <w:szCs w:val="22"/>
        </w:rPr>
        <w:t xml:space="preserve">Avis sur le projet de schéma de développement </w:t>
      </w:r>
      <w:proofErr w:type="spellStart"/>
      <w:r w:rsidRPr="00183657">
        <w:rPr>
          <w:rFonts w:ascii="Century Gothic" w:hAnsi="Century Gothic" w:cs="Arial"/>
          <w:szCs w:val="22"/>
        </w:rPr>
        <w:t>pluricommunal</w:t>
      </w:r>
      <w:proofErr w:type="spellEnd"/>
      <w:r w:rsidRPr="00183657">
        <w:rPr>
          <w:rFonts w:ascii="Century Gothic" w:hAnsi="Century Gothic" w:cs="Arial"/>
          <w:szCs w:val="22"/>
        </w:rPr>
        <w:t xml:space="preserve"> et sur la liste des schémas de développement </w:t>
      </w:r>
      <w:proofErr w:type="spellStart"/>
      <w:r w:rsidRPr="00183657">
        <w:rPr>
          <w:rFonts w:ascii="Century Gothic" w:hAnsi="Century Gothic" w:cs="Arial"/>
          <w:szCs w:val="22"/>
        </w:rPr>
        <w:t>pluricommunaux</w:t>
      </w:r>
      <w:proofErr w:type="spellEnd"/>
      <w:r w:rsidRPr="00183657">
        <w:rPr>
          <w:rFonts w:ascii="Century Gothic" w:hAnsi="Century Gothic" w:cs="Arial"/>
          <w:szCs w:val="22"/>
        </w:rPr>
        <w:t xml:space="preserve"> ou communaux et des guides communaux à élaborer, réviser ou abroger en tout ou en partie (art. D.II. 7,</w:t>
      </w:r>
      <w:r w:rsidR="00183657">
        <w:rPr>
          <w:rFonts w:ascii="Century Gothic" w:hAnsi="Century Gothic" w:cs="Arial"/>
          <w:szCs w:val="22"/>
        </w:rPr>
        <w:t xml:space="preserve"> </w:t>
      </w:r>
      <w:r w:rsidRPr="00183657">
        <w:rPr>
          <w:rFonts w:ascii="Century Gothic" w:hAnsi="Century Gothic" w:cs="Arial"/>
          <w:szCs w:val="22"/>
        </w:rPr>
        <w:t>§3, al.2)</w:t>
      </w:r>
    </w:p>
    <w:p w:rsidR="002B0D8E" w:rsidRPr="00183657" w:rsidRDefault="002B0D8E" w:rsidP="002B0D8E">
      <w:pPr>
        <w:suppressAutoHyphens/>
        <w:ind w:left="720"/>
        <w:jc w:val="both"/>
        <w:rPr>
          <w:rFonts w:ascii="Century Gothic" w:hAnsi="Century Gothic" w:cs="Arial"/>
          <w:szCs w:val="22"/>
        </w:rPr>
      </w:pPr>
    </w:p>
    <w:p w:rsidR="002B0D8E" w:rsidRPr="00183657" w:rsidRDefault="002B0D8E" w:rsidP="002B0D8E">
      <w:pPr>
        <w:numPr>
          <w:ilvl w:val="0"/>
          <w:numId w:val="4"/>
        </w:numPr>
        <w:suppressAutoHyphens/>
        <w:ind w:left="284" w:hanging="284"/>
        <w:jc w:val="both"/>
        <w:rPr>
          <w:rFonts w:ascii="Century Gothic" w:hAnsi="Century Gothic" w:cs="Arial"/>
          <w:szCs w:val="22"/>
          <w:u w:val="single"/>
        </w:rPr>
      </w:pPr>
      <w:r w:rsidRPr="00183657">
        <w:rPr>
          <w:rFonts w:ascii="Century Gothic" w:hAnsi="Century Gothic" w:cs="Arial"/>
          <w:szCs w:val="22"/>
          <w:u w:val="single"/>
        </w:rPr>
        <w:t>Schéma de développement communal (SDC)</w:t>
      </w:r>
    </w:p>
    <w:p w:rsidR="002B0D8E" w:rsidRPr="00183657" w:rsidRDefault="002B0D8E" w:rsidP="002B0D8E">
      <w:pPr>
        <w:pStyle w:val="Paragraphedeliste"/>
        <w:numPr>
          <w:ilvl w:val="0"/>
          <w:numId w:val="2"/>
        </w:numPr>
        <w:suppressAutoHyphens/>
        <w:ind w:left="709" w:hanging="425"/>
        <w:contextualSpacing w:val="0"/>
        <w:jc w:val="both"/>
        <w:rPr>
          <w:rFonts w:ascii="Century Gothic" w:hAnsi="Century Gothic" w:cs="Arial"/>
          <w:szCs w:val="22"/>
        </w:rPr>
      </w:pPr>
      <w:r w:rsidRPr="00183657">
        <w:rPr>
          <w:rFonts w:ascii="Century Gothic" w:hAnsi="Century Gothic" w:cs="Arial"/>
          <w:szCs w:val="22"/>
        </w:rPr>
        <w:t xml:space="preserve">Avis sur le projet de schéma de développement communal et sur la liste des schémas de développement </w:t>
      </w:r>
      <w:proofErr w:type="spellStart"/>
      <w:r w:rsidRPr="00183657">
        <w:rPr>
          <w:rFonts w:ascii="Century Gothic" w:hAnsi="Century Gothic" w:cs="Arial"/>
          <w:szCs w:val="22"/>
        </w:rPr>
        <w:t>pluricommunaux</w:t>
      </w:r>
      <w:proofErr w:type="spellEnd"/>
      <w:r w:rsidRPr="00183657">
        <w:rPr>
          <w:rFonts w:ascii="Century Gothic" w:hAnsi="Century Gothic" w:cs="Arial"/>
          <w:szCs w:val="22"/>
        </w:rPr>
        <w:t xml:space="preserve"> et d’orientation locaux et le guide communal à élaborer, réviser ou abroger en tout ou en partie (art. D.II. 12,</w:t>
      </w:r>
      <w:r w:rsidR="00183657">
        <w:rPr>
          <w:rFonts w:ascii="Century Gothic" w:hAnsi="Century Gothic" w:cs="Arial"/>
          <w:szCs w:val="22"/>
        </w:rPr>
        <w:t xml:space="preserve"> </w:t>
      </w:r>
      <w:r w:rsidRPr="00183657">
        <w:rPr>
          <w:rFonts w:ascii="Century Gothic" w:hAnsi="Century Gothic" w:cs="Arial"/>
          <w:szCs w:val="22"/>
        </w:rPr>
        <w:t>§3, al.3)</w:t>
      </w:r>
    </w:p>
    <w:p w:rsidR="002B0D8E" w:rsidRPr="00183657" w:rsidRDefault="002B0D8E" w:rsidP="002B0D8E">
      <w:pPr>
        <w:suppressAutoHyphens/>
        <w:ind w:left="284"/>
        <w:jc w:val="both"/>
        <w:rPr>
          <w:rFonts w:ascii="Century Gothic" w:hAnsi="Century Gothic" w:cs="Arial"/>
          <w:szCs w:val="22"/>
          <w:u w:val="single"/>
        </w:rPr>
      </w:pPr>
    </w:p>
    <w:p w:rsidR="002B0D8E" w:rsidRPr="00183657" w:rsidRDefault="002B0D8E" w:rsidP="002B0D8E">
      <w:pPr>
        <w:numPr>
          <w:ilvl w:val="0"/>
          <w:numId w:val="4"/>
        </w:numPr>
        <w:suppressAutoHyphens/>
        <w:ind w:left="284" w:hanging="284"/>
        <w:jc w:val="both"/>
        <w:rPr>
          <w:rFonts w:ascii="Century Gothic" w:hAnsi="Century Gothic" w:cs="Arial"/>
          <w:szCs w:val="22"/>
          <w:u w:val="single"/>
        </w:rPr>
      </w:pPr>
      <w:r w:rsidRPr="00183657">
        <w:rPr>
          <w:rFonts w:ascii="Century Gothic" w:hAnsi="Century Gothic" w:cs="Arial"/>
          <w:szCs w:val="22"/>
          <w:u w:val="single"/>
        </w:rPr>
        <w:t>Schéma d’orientation local (SOL)</w:t>
      </w:r>
    </w:p>
    <w:p w:rsidR="002B0D8E" w:rsidRPr="00183657" w:rsidRDefault="002B0D8E" w:rsidP="002B0D8E">
      <w:pPr>
        <w:pStyle w:val="Paragraphedeliste"/>
        <w:numPr>
          <w:ilvl w:val="0"/>
          <w:numId w:val="2"/>
        </w:numPr>
        <w:suppressAutoHyphens/>
        <w:ind w:left="709" w:hanging="425"/>
        <w:contextualSpacing w:val="0"/>
        <w:jc w:val="both"/>
        <w:rPr>
          <w:rFonts w:ascii="Century Gothic" w:hAnsi="Century Gothic" w:cs="Arial"/>
          <w:szCs w:val="22"/>
        </w:rPr>
      </w:pPr>
      <w:r w:rsidRPr="00183657">
        <w:rPr>
          <w:rFonts w:ascii="Century Gothic" w:hAnsi="Century Gothic" w:cs="Arial"/>
          <w:szCs w:val="22"/>
        </w:rPr>
        <w:t xml:space="preserve">Avis sur le projet de schéma d’orientation local et </w:t>
      </w:r>
      <w:r w:rsidR="00183657">
        <w:rPr>
          <w:rFonts w:ascii="Century Gothic" w:hAnsi="Century Gothic" w:cs="Arial"/>
          <w:szCs w:val="22"/>
        </w:rPr>
        <w:t>s</w:t>
      </w:r>
      <w:r w:rsidRPr="00183657">
        <w:rPr>
          <w:rFonts w:ascii="Century Gothic" w:hAnsi="Century Gothic" w:cs="Arial"/>
          <w:szCs w:val="22"/>
        </w:rPr>
        <w:t xml:space="preserve">ur la liste des schémas de développement </w:t>
      </w:r>
      <w:proofErr w:type="spellStart"/>
      <w:r w:rsidRPr="00183657">
        <w:rPr>
          <w:rFonts w:ascii="Century Gothic" w:hAnsi="Century Gothic" w:cs="Arial"/>
          <w:szCs w:val="22"/>
        </w:rPr>
        <w:t>pluricommunaux</w:t>
      </w:r>
      <w:proofErr w:type="spellEnd"/>
      <w:r w:rsidRPr="00183657">
        <w:rPr>
          <w:rFonts w:ascii="Century Gothic" w:hAnsi="Century Gothic" w:cs="Arial"/>
          <w:szCs w:val="22"/>
        </w:rPr>
        <w:t xml:space="preserve"> et d’orientation locaux, et le guide communal à élaborer,  réviser ou abroger en tout ou en partie  (art. D.II. 12,</w:t>
      </w:r>
      <w:r w:rsidR="00183657">
        <w:rPr>
          <w:rFonts w:ascii="Century Gothic" w:hAnsi="Century Gothic" w:cs="Arial"/>
          <w:szCs w:val="22"/>
        </w:rPr>
        <w:t xml:space="preserve"> </w:t>
      </w:r>
      <w:r w:rsidRPr="00183657">
        <w:rPr>
          <w:rFonts w:ascii="Century Gothic" w:hAnsi="Century Gothic" w:cs="Arial"/>
          <w:szCs w:val="22"/>
        </w:rPr>
        <w:t>§3, al.3)</w:t>
      </w:r>
    </w:p>
    <w:p w:rsidR="002B0D8E" w:rsidRPr="00183657" w:rsidRDefault="002B0D8E" w:rsidP="002B0D8E">
      <w:pPr>
        <w:suppressAutoHyphens/>
        <w:ind w:left="709"/>
        <w:jc w:val="both"/>
        <w:rPr>
          <w:rFonts w:ascii="Century Gothic" w:hAnsi="Century Gothic" w:cs="Arial"/>
          <w:szCs w:val="22"/>
        </w:rPr>
      </w:pPr>
    </w:p>
    <w:p w:rsidR="002B0D8E" w:rsidRPr="00183657" w:rsidRDefault="002B0D8E" w:rsidP="002B0D8E">
      <w:pPr>
        <w:numPr>
          <w:ilvl w:val="0"/>
          <w:numId w:val="4"/>
        </w:numPr>
        <w:suppressAutoHyphens/>
        <w:ind w:left="284" w:hanging="295"/>
        <w:jc w:val="both"/>
        <w:rPr>
          <w:rFonts w:ascii="Century Gothic" w:hAnsi="Century Gothic" w:cs="Arial"/>
          <w:szCs w:val="22"/>
        </w:rPr>
      </w:pPr>
      <w:r w:rsidRPr="00183657">
        <w:rPr>
          <w:rFonts w:ascii="Century Gothic" w:hAnsi="Century Gothic" w:cs="Arial"/>
          <w:szCs w:val="22"/>
          <w:u w:val="single"/>
        </w:rPr>
        <w:t>Plan de secteur</w:t>
      </w:r>
    </w:p>
    <w:p w:rsidR="002B0D8E" w:rsidRPr="00183657" w:rsidRDefault="002B0D8E" w:rsidP="002B0D8E">
      <w:pPr>
        <w:numPr>
          <w:ilvl w:val="0"/>
          <w:numId w:val="6"/>
        </w:numPr>
        <w:suppressAutoHyphens/>
        <w:ind w:left="709" w:hanging="425"/>
        <w:jc w:val="both"/>
        <w:rPr>
          <w:rFonts w:ascii="Century Gothic" w:hAnsi="Century Gothic" w:cs="Arial"/>
          <w:szCs w:val="22"/>
        </w:rPr>
      </w:pPr>
      <w:r w:rsidRPr="00183657">
        <w:rPr>
          <w:rFonts w:ascii="Century Gothic" w:hAnsi="Century Gothic" w:cs="Arial"/>
          <w:szCs w:val="22"/>
        </w:rPr>
        <w:t>Avis sur les demandes révision à l’initiative de la commune (art. D II.47, § 1</w:t>
      </w:r>
      <w:r w:rsidRPr="00183657">
        <w:rPr>
          <w:rFonts w:ascii="Century Gothic" w:hAnsi="Century Gothic" w:cs="Arial"/>
          <w:szCs w:val="22"/>
          <w:vertAlign w:val="superscript"/>
        </w:rPr>
        <w:t>er</w:t>
      </w:r>
      <w:r w:rsidRPr="00183657">
        <w:rPr>
          <w:rFonts w:ascii="Century Gothic" w:hAnsi="Century Gothic" w:cs="Arial"/>
          <w:szCs w:val="22"/>
        </w:rPr>
        <w:t>, al.3)</w:t>
      </w:r>
    </w:p>
    <w:p w:rsidR="002B0D8E" w:rsidRPr="00183657" w:rsidRDefault="002B0D8E" w:rsidP="002B0D8E">
      <w:pPr>
        <w:numPr>
          <w:ilvl w:val="0"/>
          <w:numId w:val="6"/>
        </w:numPr>
        <w:suppressAutoHyphens/>
        <w:ind w:left="709" w:hanging="425"/>
        <w:jc w:val="both"/>
        <w:rPr>
          <w:rFonts w:ascii="Century Gothic" w:hAnsi="Century Gothic" w:cs="Arial"/>
          <w:szCs w:val="22"/>
        </w:rPr>
      </w:pPr>
      <w:r w:rsidRPr="00183657">
        <w:rPr>
          <w:rFonts w:ascii="Century Gothic" w:hAnsi="Century Gothic" w:cs="Arial"/>
          <w:szCs w:val="22"/>
        </w:rPr>
        <w:t>Avis sur les demandes de révision à l’initiative d’une personne physique ou morale, privée ou publique (art. D.II.48, § 2)</w:t>
      </w:r>
    </w:p>
    <w:p w:rsidR="002B0D8E" w:rsidRPr="00183657" w:rsidRDefault="002B0D8E" w:rsidP="002B0D8E">
      <w:pPr>
        <w:numPr>
          <w:ilvl w:val="0"/>
          <w:numId w:val="6"/>
        </w:numPr>
        <w:suppressAutoHyphens/>
        <w:ind w:left="709" w:hanging="425"/>
        <w:jc w:val="both"/>
        <w:rPr>
          <w:rFonts w:ascii="Century Gothic" w:hAnsi="Century Gothic" w:cs="Arial"/>
          <w:szCs w:val="22"/>
        </w:rPr>
      </w:pPr>
      <w:r w:rsidRPr="00183657">
        <w:rPr>
          <w:rFonts w:ascii="Century Gothic" w:hAnsi="Century Gothic" w:cs="Arial"/>
          <w:szCs w:val="22"/>
        </w:rPr>
        <w:t>Avis sur les demandes de révisions accélérées en vue de l’inscription d’une zone d’enjeu communal sans compensation ou révision de plan de secteur ne nécessitant pas de compensation (art. D.II.52, § 1er, al. 4, 2°).</w:t>
      </w:r>
    </w:p>
    <w:p w:rsidR="002B0D8E" w:rsidRPr="00183657" w:rsidRDefault="002B0D8E" w:rsidP="002B0D8E">
      <w:pPr>
        <w:suppressAutoHyphens/>
        <w:ind w:left="709"/>
        <w:jc w:val="both"/>
        <w:rPr>
          <w:rFonts w:ascii="Century Gothic" w:hAnsi="Century Gothic" w:cs="Arial"/>
          <w:szCs w:val="22"/>
        </w:rPr>
      </w:pPr>
    </w:p>
    <w:p w:rsidR="002B0D8E" w:rsidRPr="00183657" w:rsidRDefault="002B0D8E" w:rsidP="002B0D8E">
      <w:pPr>
        <w:pStyle w:val="Paragraphedeliste"/>
        <w:numPr>
          <w:ilvl w:val="0"/>
          <w:numId w:val="4"/>
        </w:numPr>
        <w:suppressAutoHyphens/>
        <w:ind w:left="284" w:hanging="284"/>
        <w:jc w:val="both"/>
        <w:rPr>
          <w:rFonts w:ascii="Century Gothic" w:hAnsi="Century Gothic" w:cs="Arial"/>
          <w:szCs w:val="22"/>
          <w:u w:val="single"/>
        </w:rPr>
      </w:pPr>
      <w:r w:rsidRPr="00183657">
        <w:rPr>
          <w:rFonts w:ascii="Century Gothic" w:hAnsi="Century Gothic" w:cs="Arial"/>
          <w:szCs w:val="22"/>
          <w:u w:val="single"/>
        </w:rPr>
        <w:t>Guide régional d’urbanisme (GRU)</w:t>
      </w:r>
    </w:p>
    <w:p w:rsidR="002B0D8E" w:rsidRPr="00183657" w:rsidRDefault="002B0D8E" w:rsidP="002B0D8E">
      <w:pPr>
        <w:numPr>
          <w:ilvl w:val="0"/>
          <w:numId w:val="5"/>
        </w:numPr>
        <w:suppressAutoHyphens/>
        <w:jc w:val="both"/>
        <w:rPr>
          <w:rFonts w:ascii="Century Gothic" w:hAnsi="Century Gothic" w:cs="Arial"/>
          <w:szCs w:val="22"/>
        </w:rPr>
      </w:pPr>
      <w:r w:rsidRPr="00183657">
        <w:rPr>
          <w:rFonts w:ascii="Century Gothic" w:hAnsi="Century Gothic" w:cs="Arial"/>
          <w:szCs w:val="22"/>
        </w:rPr>
        <w:t xml:space="preserve">Avis sur le projet de guide </w:t>
      </w:r>
      <w:r w:rsidRPr="00183657">
        <w:rPr>
          <w:rFonts w:ascii="Century Gothic" w:hAnsi="Century Gothic" w:cs="Arial"/>
          <w:szCs w:val="22"/>
          <w:lang w:val="fr-BE"/>
        </w:rPr>
        <w:t xml:space="preserve">portant sur une partie du territoire régional </w:t>
      </w:r>
      <w:r w:rsidRPr="00183657">
        <w:rPr>
          <w:rFonts w:ascii="Century Gothic" w:hAnsi="Century Gothic" w:cs="Arial"/>
          <w:szCs w:val="22"/>
        </w:rPr>
        <w:t>(art. D.III.3, §3, al. 2)</w:t>
      </w:r>
    </w:p>
    <w:p w:rsidR="002B0D8E" w:rsidRPr="00183657" w:rsidRDefault="002B0D8E" w:rsidP="002B0D8E">
      <w:pPr>
        <w:suppressAutoHyphens/>
        <w:ind w:left="284"/>
        <w:jc w:val="both"/>
        <w:rPr>
          <w:rFonts w:ascii="Century Gothic" w:hAnsi="Century Gothic" w:cs="Arial"/>
          <w:szCs w:val="22"/>
          <w:u w:val="single"/>
        </w:rPr>
      </w:pPr>
    </w:p>
    <w:p w:rsidR="002B0D8E" w:rsidRPr="00183657" w:rsidRDefault="002B0D8E" w:rsidP="002B0D8E">
      <w:pPr>
        <w:numPr>
          <w:ilvl w:val="0"/>
          <w:numId w:val="4"/>
        </w:numPr>
        <w:suppressAutoHyphens/>
        <w:ind w:left="284" w:hanging="284"/>
        <w:jc w:val="both"/>
        <w:rPr>
          <w:rFonts w:ascii="Century Gothic" w:hAnsi="Century Gothic" w:cs="Arial"/>
          <w:szCs w:val="22"/>
          <w:u w:val="single"/>
        </w:rPr>
      </w:pPr>
      <w:r w:rsidRPr="00183657">
        <w:rPr>
          <w:rFonts w:ascii="Century Gothic" w:hAnsi="Century Gothic" w:cs="Arial"/>
          <w:szCs w:val="22"/>
          <w:u w:val="single"/>
        </w:rPr>
        <w:lastRenderedPageBreak/>
        <w:t>Guide communal d’urbanisme (GCU)</w:t>
      </w:r>
    </w:p>
    <w:p w:rsidR="002B0D8E" w:rsidRPr="00183657" w:rsidRDefault="002B0D8E" w:rsidP="002B0D8E">
      <w:pPr>
        <w:numPr>
          <w:ilvl w:val="0"/>
          <w:numId w:val="5"/>
        </w:numPr>
        <w:suppressAutoHyphens/>
        <w:jc w:val="both"/>
        <w:rPr>
          <w:rFonts w:ascii="Century Gothic" w:hAnsi="Century Gothic" w:cs="Arial"/>
          <w:szCs w:val="22"/>
        </w:rPr>
      </w:pPr>
      <w:r w:rsidRPr="00183657">
        <w:rPr>
          <w:rFonts w:ascii="Century Gothic" w:hAnsi="Century Gothic" w:cs="Arial"/>
          <w:szCs w:val="22"/>
        </w:rPr>
        <w:t>Informations lors des études préalables de l’élaboration ou la révision du GCU (art. D.III.6, §1, al. 2)</w:t>
      </w:r>
    </w:p>
    <w:p w:rsidR="002B0D8E" w:rsidRPr="00183657" w:rsidRDefault="002B0D8E" w:rsidP="002B0D8E">
      <w:pPr>
        <w:numPr>
          <w:ilvl w:val="0"/>
          <w:numId w:val="5"/>
        </w:numPr>
        <w:suppressAutoHyphens/>
        <w:jc w:val="both"/>
        <w:rPr>
          <w:rFonts w:ascii="Century Gothic" w:hAnsi="Century Gothic" w:cs="Arial"/>
          <w:szCs w:val="22"/>
        </w:rPr>
      </w:pPr>
      <w:r w:rsidRPr="00183657">
        <w:rPr>
          <w:rFonts w:ascii="Century Gothic" w:hAnsi="Century Gothic" w:cs="Arial"/>
          <w:szCs w:val="22"/>
        </w:rPr>
        <w:t>Avis sur le projet de guide (art. D.III.6, §2, al. 2)</w:t>
      </w:r>
    </w:p>
    <w:p w:rsidR="002B0D8E" w:rsidRPr="00183657" w:rsidRDefault="002B0D8E" w:rsidP="002B0D8E">
      <w:pPr>
        <w:suppressAutoHyphens/>
        <w:jc w:val="both"/>
        <w:rPr>
          <w:rFonts w:ascii="Century Gothic" w:hAnsi="Century Gothic" w:cs="Arial"/>
          <w:szCs w:val="22"/>
        </w:rPr>
      </w:pPr>
    </w:p>
    <w:p w:rsidR="002B0D8E" w:rsidRPr="00183657" w:rsidRDefault="002B0D8E" w:rsidP="002B0D8E">
      <w:pPr>
        <w:pStyle w:val="Paragraphedeliste"/>
        <w:numPr>
          <w:ilvl w:val="0"/>
          <w:numId w:val="3"/>
        </w:numPr>
        <w:shd w:val="pct12" w:color="auto" w:fill="auto"/>
        <w:suppressAutoHyphens/>
        <w:contextualSpacing w:val="0"/>
        <w:jc w:val="both"/>
        <w:rPr>
          <w:rFonts w:ascii="Century Gothic" w:hAnsi="Century Gothic" w:cs="Arial"/>
          <w:b/>
          <w:szCs w:val="22"/>
        </w:rPr>
      </w:pPr>
      <w:r w:rsidRPr="00183657">
        <w:rPr>
          <w:rFonts w:ascii="Century Gothic" w:hAnsi="Century Gothic" w:cs="Arial"/>
          <w:b/>
          <w:szCs w:val="22"/>
        </w:rPr>
        <w:t>Système d’évaluation des incidences sur l’environnement</w:t>
      </w:r>
    </w:p>
    <w:p w:rsidR="002B0D8E" w:rsidRPr="00183657" w:rsidRDefault="002B0D8E" w:rsidP="002B0D8E">
      <w:pPr>
        <w:suppressAutoHyphens/>
        <w:jc w:val="both"/>
        <w:rPr>
          <w:rFonts w:ascii="Century Gothic" w:hAnsi="Century Gothic" w:cs="Arial"/>
          <w:szCs w:val="22"/>
        </w:rPr>
      </w:pPr>
    </w:p>
    <w:p w:rsidR="002B0D8E" w:rsidRPr="00183657" w:rsidRDefault="002B0D8E" w:rsidP="002B0D8E">
      <w:pPr>
        <w:numPr>
          <w:ilvl w:val="0"/>
          <w:numId w:val="7"/>
        </w:numPr>
        <w:suppressAutoHyphens/>
        <w:ind w:left="284" w:hanging="284"/>
        <w:jc w:val="both"/>
        <w:rPr>
          <w:rFonts w:ascii="Century Gothic" w:hAnsi="Century Gothic" w:cs="Arial"/>
          <w:szCs w:val="22"/>
        </w:rPr>
      </w:pPr>
      <w:r w:rsidRPr="00183657">
        <w:rPr>
          <w:rFonts w:ascii="Century Gothic" w:hAnsi="Century Gothic" w:cs="Arial"/>
          <w:szCs w:val="22"/>
        </w:rPr>
        <w:t xml:space="preserve">Informations lors des analyses préalables et de la rédaction </w:t>
      </w:r>
      <w:r w:rsidRPr="00183657">
        <w:rPr>
          <w:rFonts w:ascii="Century Gothic" w:hAnsi="Century Gothic" w:cs="Arial"/>
          <w:szCs w:val="22"/>
          <w:lang w:val="fr-BE"/>
        </w:rPr>
        <w:t xml:space="preserve">du rapport sur les incidences environnementales </w:t>
      </w:r>
      <w:r w:rsidRPr="00183657">
        <w:rPr>
          <w:rFonts w:ascii="Century Gothic" w:hAnsi="Century Gothic" w:cs="Arial"/>
          <w:szCs w:val="22"/>
        </w:rPr>
        <w:t>(art. D.VIII.30)</w:t>
      </w:r>
    </w:p>
    <w:p w:rsidR="002B0D8E" w:rsidRPr="00183657" w:rsidRDefault="002B0D8E" w:rsidP="002B0D8E">
      <w:pPr>
        <w:numPr>
          <w:ilvl w:val="0"/>
          <w:numId w:val="7"/>
        </w:numPr>
        <w:suppressAutoHyphens/>
        <w:ind w:left="284" w:hanging="284"/>
        <w:jc w:val="both"/>
        <w:rPr>
          <w:rFonts w:ascii="Century Gothic" w:hAnsi="Century Gothic" w:cs="Arial"/>
          <w:szCs w:val="22"/>
        </w:rPr>
      </w:pPr>
      <w:r w:rsidRPr="00183657">
        <w:rPr>
          <w:rFonts w:ascii="Century Gothic" w:hAnsi="Century Gothic" w:cs="Arial"/>
          <w:szCs w:val="22"/>
        </w:rPr>
        <w:t>Avis sur les rapports sur les incidences environnementales des plans et schémas (art. D.VIII.33, § 4)</w:t>
      </w:r>
    </w:p>
    <w:p w:rsidR="002B0D8E" w:rsidRPr="00183657" w:rsidRDefault="002B0D8E" w:rsidP="002B0D8E">
      <w:pPr>
        <w:numPr>
          <w:ilvl w:val="0"/>
          <w:numId w:val="7"/>
        </w:numPr>
        <w:suppressAutoHyphens/>
        <w:ind w:left="284" w:hanging="284"/>
        <w:jc w:val="both"/>
        <w:rPr>
          <w:rFonts w:ascii="Century Gothic" w:hAnsi="Century Gothic" w:cs="Arial"/>
          <w:szCs w:val="22"/>
        </w:rPr>
      </w:pPr>
      <w:r w:rsidRPr="00183657">
        <w:rPr>
          <w:rFonts w:ascii="Century Gothic" w:hAnsi="Century Gothic" w:cs="Arial"/>
          <w:szCs w:val="22"/>
        </w:rPr>
        <w:t>Avis sur la forme et le contenu minimum de l’étude d’incidences en matière de permis – si le demandeur sollicite l’autorité compétente sur ce point (art. R.57 du Livre I</w:t>
      </w:r>
      <w:r w:rsidRPr="00183657">
        <w:rPr>
          <w:rFonts w:ascii="Century Gothic" w:hAnsi="Century Gothic" w:cs="Arial"/>
          <w:szCs w:val="22"/>
          <w:vertAlign w:val="superscript"/>
        </w:rPr>
        <w:t>er</w:t>
      </w:r>
      <w:r w:rsidRPr="00183657">
        <w:rPr>
          <w:rFonts w:ascii="Century Gothic" w:hAnsi="Century Gothic" w:cs="Arial"/>
          <w:szCs w:val="22"/>
        </w:rPr>
        <w:t xml:space="preserve"> du Code de l’Environnement)</w:t>
      </w:r>
    </w:p>
    <w:p w:rsidR="002B0D8E" w:rsidRPr="00183657" w:rsidRDefault="002B0D8E" w:rsidP="002B0D8E">
      <w:pPr>
        <w:numPr>
          <w:ilvl w:val="0"/>
          <w:numId w:val="7"/>
        </w:numPr>
        <w:suppressAutoHyphens/>
        <w:ind w:left="284" w:hanging="284"/>
        <w:jc w:val="both"/>
        <w:rPr>
          <w:rFonts w:ascii="Century Gothic" w:hAnsi="Century Gothic" w:cs="Arial"/>
          <w:szCs w:val="22"/>
        </w:rPr>
      </w:pPr>
      <w:r w:rsidRPr="00183657">
        <w:rPr>
          <w:rFonts w:ascii="Century Gothic" w:hAnsi="Century Gothic" w:cs="Arial"/>
          <w:szCs w:val="22"/>
        </w:rPr>
        <w:t>Avis sur la qualité de l’étude d’incidences et sur le projet en matière de permis (art. R.82 du Livre I</w:t>
      </w:r>
      <w:r w:rsidRPr="00183657">
        <w:rPr>
          <w:rFonts w:ascii="Century Gothic" w:hAnsi="Century Gothic" w:cs="Arial"/>
          <w:szCs w:val="22"/>
          <w:vertAlign w:val="superscript"/>
        </w:rPr>
        <w:t>er</w:t>
      </w:r>
      <w:r w:rsidRPr="00183657">
        <w:rPr>
          <w:rFonts w:ascii="Century Gothic" w:hAnsi="Century Gothic" w:cs="Arial"/>
          <w:szCs w:val="22"/>
        </w:rPr>
        <w:t xml:space="preserve"> du Code de l’Environnement)</w:t>
      </w:r>
    </w:p>
    <w:p w:rsidR="002B0D8E" w:rsidRPr="00183657" w:rsidRDefault="002B0D8E" w:rsidP="002B0D8E">
      <w:pPr>
        <w:suppressAutoHyphens/>
        <w:jc w:val="both"/>
        <w:rPr>
          <w:rFonts w:ascii="Century Gothic" w:hAnsi="Century Gothic" w:cs="Arial"/>
          <w:szCs w:val="22"/>
        </w:rPr>
      </w:pPr>
    </w:p>
    <w:p w:rsidR="002B0D8E" w:rsidRPr="00183657" w:rsidRDefault="002B0D8E" w:rsidP="002B0D8E">
      <w:pPr>
        <w:pStyle w:val="Paragraphedeliste"/>
        <w:numPr>
          <w:ilvl w:val="0"/>
          <w:numId w:val="3"/>
        </w:numPr>
        <w:shd w:val="pct12" w:color="auto" w:fill="auto"/>
        <w:suppressAutoHyphens/>
        <w:contextualSpacing w:val="0"/>
        <w:jc w:val="both"/>
        <w:rPr>
          <w:rFonts w:ascii="Century Gothic" w:hAnsi="Century Gothic" w:cs="Arial"/>
          <w:b/>
          <w:szCs w:val="22"/>
        </w:rPr>
      </w:pPr>
      <w:r w:rsidRPr="00183657">
        <w:rPr>
          <w:rFonts w:ascii="Century Gothic" w:hAnsi="Century Gothic" w:cs="Arial"/>
          <w:b/>
          <w:szCs w:val="22"/>
        </w:rPr>
        <w:t xml:space="preserve"> Permis et Certificat d’urbanisme n°2</w:t>
      </w:r>
    </w:p>
    <w:p w:rsidR="002B0D8E" w:rsidRPr="00183657" w:rsidRDefault="002B0D8E" w:rsidP="002B0D8E">
      <w:pPr>
        <w:suppressAutoHyphens/>
        <w:ind w:left="284"/>
        <w:jc w:val="both"/>
        <w:rPr>
          <w:rFonts w:ascii="Century Gothic" w:hAnsi="Century Gothic" w:cs="Arial"/>
          <w:szCs w:val="22"/>
        </w:rPr>
      </w:pPr>
    </w:p>
    <w:p w:rsidR="002B0D8E" w:rsidRPr="00183657" w:rsidRDefault="002B0D8E" w:rsidP="002B0D8E">
      <w:pPr>
        <w:numPr>
          <w:ilvl w:val="0"/>
          <w:numId w:val="8"/>
        </w:numPr>
        <w:suppressAutoHyphens/>
        <w:ind w:left="284" w:hanging="284"/>
        <w:jc w:val="both"/>
        <w:rPr>
          <w:rFonts w:ascii="Century Gothic" w:hAnsi="Century Gothic" w:cs="Arial"/>
          <w:szCs w:val="22"/>
        </w:rPr>
      </w:pPr>
      <w:r w:rsidRPr="00183657">
        <w:rPr>
          <w:rFonts w:ascii="Century Gothic" w:hAnsi="Century Gothic" w:cs="Arial"/>
          <w:szCs w:val="22"/>
        </w:rPr>
        <w:t>Participation à la réunion de projet (art. D.IV.31, §3)</w:t>
      </w:r>
    </w:p>
    <w:p w:rsidR="002B0D8E" w:rsidRPr="00183657" w:rsidRDefault="002B0D8E" w:rsidP="002B0D8E">
      <w:pPr>
        <w:suppressAutoHyphens/>
        <w:jc w:val="both"/>
        <w:rPr>
          <w:rFonts w:ascii="Century Gothic" w:hAnsi="Century Gothic" w:cs="Arial"/>
          <w:szCs w:val="22"/>
        </w:rPr>
      </w:pPr>
    </w:p>
    <w:p w:rsidR="002B0D8E" w:rsidRPr="00183657" w:rsidRDefault="002B0D8E" w:rsidP="002B0D8E">
      <w:pPr>
        <w:pStyle w:val="Paragraphedeliste"/>
        <w:numPr>
          <w:ilvl w:val="0"/>
          <w:numId w:val="3"/>
        </w:numPr>
        <w:shd w:val="pct12" w:color="auto" w:fill="auto"/>
        <w:tabs>
          <w:tab w:val="left" w:pos="0"/>
        </w:tabs>
        <w:suppressAutoHyphens/>
        <w:contextualSpacing w:val="0"/>
        <w:jc w:val="both"/>
        <w:rPr>
          <w:rFonts w:ascii="Century Gothic" w:hAnsi="Century Gothic" w:cs="Arial"/>
          <w:b/>
          <w:szCs w:val="22"/>
        </w:rPr>
      </w:pPr>
      <w:r w:rsidRPr="00183657">
        <w:rPr>
          <w:rFonts w:ascii="Century Gothic" w:hAnsi="Century Gothic" w:cs="Arial"/>
          <w:b/>
          <w:szCs w:val="22"/>
        </w:rPr>
        <w:t>Autres matières relatives à l’aménagement du territoire</w:t>
      </w:r>
    </w:p>
    <w:p w:rsidR="002B0D8E" w:rsidRPr="00183657" w:rsidRDefault="002B0D8E" w:rsidP="002B0D8E">
      <w:pPr>
        <w:suppressAutoHyphens/>
        <w:jc w:val="both"/>
        <w:rPr>
          <w:rFonts w:ascii="Century Gothic" w:hAnsi="Century Gothic" w:cs="Arial"/>
          <w:szCs w:val="22"/>
        </w:rPr>
      </w:pPr>
    </w:p>
    <w:p w:rsidR="002B0D8E" w:rsidRPr="00183657" w:rsidRDefault="002B0D8E" w:rsidP="002B0D8E">
      <w:pPr>
        <w:numPr>
          <w:ilvl w:val="0"/>
          <w:numId w:val="9"/>
        </w:numPr>
        <w:suppressAutoHyphens/>
        <w:ind w:left="284" w:hanging="284"/>
        <w:jc w:val="both"/>
        <w:rPr>
          <w:rFonts w:ascii="Century Gothic" w:hAnsi="Century Gothic" w:cs="Arial"/>
          <w:szCs w:val="22"/>
          <w:u w:val="single"/>
        </w:rPr>
      </w:pPr>
      <w:r w:rsidRPr="00183657">
        <w:rPr>
          <w:rFonts w:ascii="Century Gothic" w:hAnsi="Century Gothic" w:cs="Arial"/>
          <w:szCs w:val="22"/>
          <w:u w:val="single"/>
        </w:rPr>
        <w:t>Périmètres de remembrement urbain</w:t>
      </w:r>
    </w:p>
    <w:p w:rsidR="002B0D8E" w:rsidRPr="00183657" w:rsidRDefault="00183657" w:rsidP="002B0D8E">
      <w:pPr>
        <w:numPr>
          <w:ilvl w:val="0"/>
          <w:numId w:val="5"/>
        </w:numPr>
        <w:suppressAutoHyphens/>
        <w:jc w:val="both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A</w:t>
      </w:r>
      <w:r w:rsidR="002B0D8E" w:rsidRPr="00183657">
        <w:rPr>
          <w:rFonts w:ascii="Century Gothic" w:hAnsi="Century Gothic" w:cs="Arial"/>
          <w:szCs w:val="22"/>
        </w:rPr>
        <w:t>vis sur le projet de périmètre</w:t>
      </w:r>
      <w:r w:rsidR="002B0D8E" w:rsidRPr="00183657">
        <w:rPr>
          <w:rFonts w:ascii="Century Gothic" w:hAnsi="Century Gothic" w:cs="Arial"/>
          <w:color w:val="000000"/>
          <w:szCs w:val="22"/>
          <w:lang w:val="fr-BE"/>
        </w:rPr>
        <w:t xml:space="preserve"> </w:t>
      </w:r>
      <w:r w:rsidR="002B0D8E" w:rsidRPr="00183657">
        <w:rPr>
          <w:rFonts w:ascii="Century Gothic" w:hAnsi="Century Gothic" w:cs="Arial"/>
          <w:szCs w:val="22"/>
        </w:rPr>
        <w:t>et sur le projet d’urbanisme (art. D.V.11, § 1</w:t>
      </w:r>
      <w:r w:rsidR="002B0D8E" w:rsidRPr="00183657">
        <w:rPr>
          <w:rFonts w:ascii="Century Gothic" w:hAnsi="Century Gothic" w:cs="Arial"/>
          <w:szCs w:val="22"/>
          <w:vertAlign w:val="superscript"/>
        </w:rPr>
        <w:t>er</w:t>
      </w:r>
      <w:r w:rsidR="002B0D8E" w:rsidRPr="00183657">
        <w:rPr>
          <w:rFonts w:ascii="Century Gothic" w:hAnsi="Century Gothic" w:cs="Arial"/>
          <w:szCs w:val="22"/>
        </w:rPr>
        <w:t>)</w:t>
      </w:r>
    </w:p>
    <w:p w:rsidR="00183657" w:rsidRDefault="00183657" w:rsidP="00183657">
      <w:pPr>
        <w:suppressAutoHyphens/>
        <w:ind w:left="284"/>
        <w:jc w:val="both"/>
        <w:rPr>
          <w:rFonts w:ascii="Century Gothic" w:hAnsi="Century Gothic" w:cs="Arial"/>
          <w:szCs w:val="22"/>
          <w:u w:val="single"/>
        </w:rPr>
      </w:pPr>
    </w:p>
    <w:p w:rsidR="002B0D8E" w:rsidRPr="00183657" w:rsidRDefault="002B0D8E" w:rsidP="002B0D8E">
      <w:pPr>
        <w:numPr>
          <w:ilvl w:val="0"/>
          <w:numId w:val="9"/>
        </w:numPr>
        <w:suppressAutoHyphens/>
        <w:ind w:left="284" w:hanging="284"/>
        <w:jc w:val="both"/>
        <w:rPr>
          <w:rFonts w:ascii="Century Gothic" w:hAnsi="Century Gothic" w:cs="Arial"/>
          <w:szCs w:val="22"/>
          <w:u w:val="single"/>
        </w:rPr>
      </w:pPr>
      <w:r w:rsidRPr="00183657">
        <w:rPr>
          <w:rFonts w:ascii="Century Gothic" w:hAnsi="Century Gothic" w:cs="Arial"/>
          <w:szCs w:val="22"/>
          <w:u w:val="single"/>
        </w:rPr>
        <w:t>Sites à réaménager et sites de réhabilitation paysagère et environnementale</w:t>
      </w:r>
    </w:p>
    <w:p w:rsidR="002B0D8E" w:rsidRPr="00183657" w:rsidRDefault="002B0D8E" w:rsidP="006358C1">
      <w:pPr>
        <w:numPr>
          <w:ilvl w:val="0"/>
          <w:numId w:val="10"/>
        </w:numPr>
        <w:suppressAutoHyphens/>
        <w:ind w:left="644" w:hanging="425"/>
        <w:jc w:val="both"/>
        <w:rPr>
          <w:rFonts w:ascii="Century Gothic" w:hAnsi="Century Gothic" w:cs="Arial"/>
          <w:szCs w:val="22"/>
        </w:rPr>
      </w:pPr>
      <w:r w:rsidRPr="00183657">
        <w:rPr>
          <w:rFonts w:ascii="Century Gothic" w:hAnsi="Century Gothic" w:cs="Arial"/>
          <w:szCs w:val="22"/>
        </w:rPr>
        <w:t>Avis sur l’arrêté fixant provisoirement le périmètre d’un SAR (art. D.V.2, §3</w:t>
      </w:r>
      <w:r w:rsidR="00183657">
        <w:rPr>
          <w:rFonts w:ascii="Century Gothic" w:hAnsi="Century Gothic" w:cs="Arial"/>
          <w:szCs w:val="22"/>
        </w:rPr>
        <w:t xml:space="preserve"> )</w:t>
      </w:r>
    </w:p>
    <w:p w:rsidR="00183657" w:rsidRDefault="00183657" w:rsidP="00183657">
      <w:pPr>
        <w:suppressAutoHyphens/>
        <w:ind w:left="284"/>
        <w:jc w:val="both"/>
        <w:rPr>
          <w:rFonts w:ascii="Century Gothic" w:hAnsi="Century Gothic" w:cs="Arial"/>
          <w:szCs w:val="22"/>
          <w:u w:val="single"/>
        </w:rPr>
      </w:pPr>
    </w:p>
    <w:p w:rsidR="002B0D8E" w:rsidRPr="00183657" w:rsidRDefault="002B0D8E" w:rsidP="002B0D8E">
      <w:pPr>
        <w:numPr>
          <w:ilvl w:val="0"/>
          <w:numId w:val="9"/>
        </w:numPr>
        <w:suppressAutoHyphens/>
        <w:ind w:left="284" w:hanging="284"/>
        <w:jc w:val="both"/>
        <w:rPr>
          <w:rFonts w:ascii="Century Gothic" w:hAnsi="Century Gothic" w:cs="Arial"/>
          <w:szCs w:val="22"/>
          <w:u w:val="single"/>
        </w:rPr>
      </w:pPr>
      <w:r w:rsidRPr="00183657">
        <w:rPr>
          <w:rFonts w:ascii="Century Gothic" w:hAnsi="Century Gothic" w:cs="Arial"/>
          <w:szCs w:val="22"/>
          <w:u w:val="single"/>
        </w:rPr>
        <w:t>Rénovation urbaine</w:t>
      </w:r>
    </w:p>
    <w:p w:rsidR="002B0D8E" w:rsidRPr="00183657" w:rsidRDefault="002B0D8E" w:rsidP="002B0D8E">
      <w:pPr>
        <w:numPr>
          <w:ilvl w:val="0"/>
          <w:numId w:val="5"/>
        </w:numPr>
        <w:suppressAutoHyphens/>
        <w:jc w:val="both"/>
        <w:rPr>
          <w:rFonts w:ascii="Century Gothic" w:hAnsi="Century Gothic" w:cs="Arial"/>
          <w:szCs w:val="22"/>
        </w:rPr>
      </w:pPr>
      <w:r w:rsidRPr="00183657">
        <w:rPr>
          <w:rFonts w:ascii="Century Gothic" w:hAnsi="Century Gothic" w:cs="Arial"/>
          <w:szCs w:val="22"/>
        </w:rPr>
        <w:t xml:space="preserve"> </w:t>
      </w:r>
      <w:r w:rsidR="00183657">
        <w:rPr>
          <w:rFonts w:ascii="Century Gothic" w:hAnsi="Century Gothic" w:cs="Arial"/>
          <w:szCs w:val="22"/>
        </w:rPr>
        <w:t>P</w:t>
      </w:r>
      <w:r w:rsidRPr="00183657">
        <w:rPr>
          <w:rFonts w:ascii="Century Gothic" w:hAnsi="Century Gothic" w:cs="Arial"/>
          <w:szCs w:val="22"/>
        </w:rPr>
        <w:t>articipation à l’élaboration des projets (art. D.V.14, § 2, al. 3)</w:t>
      </w:r>
    </w:p>
    <w:p w:rsidR="002B0D8E" w:rsidRPr="00183657" w:rsidRDefault="002B0D8E" w:rsidP="002B0D8E">
      <w:pPr>
        <w:suppressAutoHyphens/>
        <w:ind w:left="644"/>
        <w:jc w:val="both"/>
        <w:rPr>
          <w:rFonts w:ascii="Century Gothic" w:hAnsi="Century Gothic" w:cs="Arial"/>
          <w:szCs w:val="22"/>
        </w:rPr>
      </w:pPr>
    </w:p>
    <w:p w:rsidR="002B0D8E" w:rsidRPr="00183657" w:rsidRDefault="002B0D8E" w:rsidP="002B0D8E">
      <w:pPr>
        <w:numPr>
          <w:ilvl w:val="0"/>
          <w:numId w:val="9"/>
        </w:numPr>
        <w:suppressAutoHyphens/>
        <w:ind w:left="284" w:hanging="284"/>
        <w:jc w:val="both"/>
        <w:rPr>
          <w:rFonts w:ascii="Century Gothic" w:hAnsi="Century Gothic" w:cs="Arial"/>
          <w:szCs w:val="22"/>
        </w:rPr>
      </w:pPr>
      <w:r w:rsidRPr="00183657">
        <w:rPr>
          <w:rFonts w:ascii="Century Gothic" w:hAnsi="Century Gothic" w:cs="Arial"/>
          <w:szCs w:val="22"/>
          <w:u w:val="single"/>
        </w:rPr>
        <w:t>Liste des arbres et haies remarquables</w:t>
      </w:r>
    </w:p>
    <w:p w:rsidR="002B0D8E" w:rsidRPr="00183657" w:rsidRDefault="00183657" w:rsidP="002B0D8E">
      <w:pPr>
        <w:numPr>
          <w:ilvl w:val="0"/>
          <w:numId w:val="5"/>
        </w:numPr>
        <w:suppressAutoHyphens/>
        <w:jc w:val="both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A</w:t>
      </w:r>
      <w:r w:rsidR="002B0D8E" w:rsidRPr="00183657">
        <w:rPr>
          <w:rFonts w:ascii="Century Gothic" w:hAnsi="Century Gothic" w:cs="Arial"/>
          <w:szCs w:val="22"/>
        </w:rPr>
        <w:t>vis sur les projets de listes établies par le collège (art. R.IV.4-9, al.1</w:t>
      </w:r>
      <w:r w:rsidR="002B0D8E" w:rsidRPr="00183657">
        <w:rPr>
          <w:rFonts w:ascii="Century Gothic" w:hAnsi="Century Gothic" w:cs="Arial"/>
          <w:szCs w:val="22"/>
          <w:vertAlign w:val="superscript"/>
        </w:rPr>
        <w:t>er</w:t>
      </w:r>
      <w:r w:rsidR="002B0D8E" w:rsidRPr="00183657">
        <w:rPr>
          <w:rFonts w:ascii="Century Gothic" w:hAnsi="Century Gothic" w:cs="Arial"/>
          <w:szCs w:val="22"/>
        </w:rPr>
        <w:t>, 2°)</w:t>
      </w:r>
    </w:p>
    <w:p w:rsidR="002B0D8E" w:rsidRPr="00183657" w:rsidRDefault="002B0D8E" w:rsidP="002B0D8E">
      <w:pPr>
        <w:suppressAutoHyphens/>
        <w:ind w:left="644"/>
        <w:jc w:val="both"/>
        <w:rPr>
          <w:rFonts w:ascii="Century Gothic" w:hAnsi="Century Gothic" w:cs="Arial"/>
          <w:szCs w:val="22"/>
        </w:rPr>
      </w:pPr>
    </w:p>
    <w:p w:rsidR="002B0D8E" w:rsidRPr="00183657" w:rsidRDefault="002B0D8E" w:rsidP="002B0D8E">
      <w:pPr>
        <w:suppressAutoHyphens/>
        <w:ind w:left="644"/>
        <w:jc w:val="both"/>
        <w:rPr>
          <w:rFonts w:ascii="Century Gothic" w:hAnsi="Century Gothic" w:cs="Arial"/>
          <w:szCs w:val="22"/>
        </w:rPr>
      </w:pPr>
    </w:p>
    <w:p w:rsidR="002B0D8E" w:rsidRPr="00183657" w:rsidRDefault="002B0D8E" w:rsidP="002B0D8E">
      <w:pPr>
        <w:pStyle w:val="Paragraphedeliste"/>
        <w:numPr>
          <w:ilvl w:val="0"/>
          <w:numId w:val="10"/>
        </w:numPr>
        <w:suppressAutoHyphens/>
        <w:ind w:hanging="720"/>
        <w:contextualSpacing w:val="0"/>
        <w:jc w:val="both"/>
        <w:rPr>
          <w:rFonts w:ascii="Century Gothic" w:hAnsi="Century Gothic" w:cs="Arial"/>
          <w:caps/>
          <w:szCs w:val="22"/>
        </w:rPr>
      </w:pPr>
      <w:r w:rsidRPr="00183657">
        <w:rPr>
          <w:rFonts w:ascii="Century Gothic" w:hAnsi="Century Gothic" w:cs="Arial"/>
          <w:b/>
          <w:caps/>
          <w:szCs w:val="22"/>
          <w:u w:val="single"/>
        </w:rPr>
        <w:t>Consultation ou intervention facultative :</w:t>
      </w:r>
    </w:p>
    <w:p w:rsidR="002B0D8E" w:rsidRPr="00183657" w:rsidRDefault="002B0D8E" w:rsidP="002B0D8E">
      <w:pPr>
        <w:pStyle w:val="Paragraphedeliste"/>
        <w:suppressAutoHyphens/>
        <w:jc w:val="both"/>
        <w:rPr>
          <w:rFonts w:ascii="Century Gothic" w:hAnsi="Century Gothic" w:cs="Arial"/>
          <w:szCs w:val="22"/>
        </w:rPr>
      </w:pPr>
    </w:p>
    <w:p w:rsidR="002B0D8E" w:rsidRPr="00183657" w:rsidRDefault="002B0D8E" w:rsidP="002B0D8E">
      <w:pPr>
        <w:numPr>
          <w:ilvl w:val="0"/>
          <w:numId w:val="11"/>
        </w:numPr>
        <w:shd w:val="pct12" w:color="auto" w:fill="auto"/>
        <w:suppressAutoHyphens/>
        <w:ind w:left="709" w:hanging="709"/>
        <w:jc w:val="both"/>
        <w:rPr>
          <w:rFonts w:ascii="Century Gothic" w:hAnsi="Century Gothic" w:cs="Arial"/>
          <w:b/>
          <w:szCs w:val="22"/>
        </w:rPr>
      </w:pPr>
      <w:r w:rsidRPr="00183657">
        <w:rPr>
          <w:rFonts w:ascii="Century Gothic" w:hAnsi="Century Gothic" w:cs="Arial"/>
          <w:b/>
          <w:szCs w:val="22"/>
        </w:rPr>
        <w:t>Permis et Certificat d’urbanisme n°2</w:t>
      </w:r>
    </w:p>
    <w:p w:rsidR="002B0D8E" w:rsidRPr="00183657" w:rsidRDefault="002B0D8E" w:rsidP="002B0D8E">
      <w:pPr>
        <w:suppressAutoHyphens/>
        <w:jc w:val="both"/>
        <w:rPr>
          <w:rFonts w:ascii="Century Gothic" w:hAnsi="Century Gothic" w:cs="Arial"/>
          <w:szCs w:val="22"/>
        </w:rPr>
      </w:pPr>
    </w:p>
    <w:p w:rsidR="002B0D8E" w:rsidRPr="00183657" w:rsidRDefault="002B0D8E" w:rsidP="002B0D8E">
      <w:pPr>
        <w:numPr>
          <w:ilvl w:val="0"/>
          <w:numId w:val="12"/>
        </w:numPr>
        <w:suppressAutoHyphens/>
        <w:ind w:left="284" w:hanging="284"/>
        <w:jc w:val="both"/>
        <w:rPr>
          <w:rFonts w:ascii="Century Gothic" w:hAnsi="Century Gothic" w:cs="Arial"/>
          <w:szCs w:val="22"/>
        </w:rPr>
      </w:pPr>
      <w:r w:rsidRPr="00183657">
        <w:rPr>
          <w:rFonts w:ascii="Century Gothic" w:hAnsi="Century Gothic" w:cs="Arial"/>
          <w:szCs w:val="22"/>
        </w:rPr>
        <w:t>Avis facultatif sur les demandes de permis ou de certificat d’urbanisme n°2 : consultation par le collège, éventuellement à la demande du fonctionnaire délégué ou de l’autorité de recours (art. D.IV.35, al.3).</w:t>
      </w:r>
    </w:p>
    <w:p w:rsidR="002B0D8E" w:rsidRPr="00183657" w:rsidRDefault="002B0D8E" w:rsidP="002B0D8E">
      <w:pPr>
        <w:numPr>
          <w:ilvl w:val="0"/>
          <w:numId w:val="12"/>
        </w:numPr>
        <w:suppressAutoHyphens/>
        <w:ind w:left="284" w:hanging="284"/>
        <w:jc w:val="both"/>
        <w:rPr>
          <w:rFonts w:ascii="Century Gothic" w:hAnsi="Century Gothic" w:cs="Arial"/>
          <w:szCs w:val="22"/>
        </w:rPr>
      </w:pPr>
      <w:r w:rsidRPr="00183657">
        <w:rPr>
          <w:rFonts w:ascii="Century Gothic" w:hAnsi="Century Gothic" w:cs="Arial"/>
          <w:szCs w:val="22"/>
        </w:rPr>
        <w:t>Permis unique : consultation sollicitée par décision conjointe du fonctionnaire délégué et du fonctionnaire technique (Décret du 11 mars 1999 relatif au permis d’environnement, art. 87) ou consultation sollicitée par la commune.</w:t>
      </w:r>
    </w:p>
    <w:p w:rsidR="002B0D8E" w:rsidRPr="00183657" w:rsidRDefault="002B0D8E" w:rsidP="002B0D8E">
      <w:pPr>
        <w:suppressAutoHyphens/>
        <w:jc w:val="both"/>
        <w:rPr>
          <w:rFonts w:ascii="Century Gothic" w:hAnsi="Century Gothic" w:cs="Arial"/>
          <w:szCs w:val="22"/>
        </w:rPr>
      </w:pPr>
    </w:p>
    <w:p w:rsidR="002B0D8E" w:rsidRPr="00183657" w:rsidRDefault="002B0D8E" w:rsidP="002B0D8E">
      <w:pPr>
        <w:suppressAutoHyphens/>
        <w:jc w:val="both"/>
        <w:rPr>
          <w:rFonts w:ascii="Century Gothic" w:hAnsi="Century Gothic" w:cs="Arial"/>
          <w:szCs w:val="22"/>
        </w:rPr>
      </w:pPr>
    </w:p>
    <w:p w:rsidR="002B0D8E" w:rsidRPr="00183657" w:rsidRDefault="002B0D8E" w:rsidP="002B0D8E">
      <w:pPr>
        <w:suppressAutoHyphens/>
        <w:jc w:val="both"/>
        <w:rPr>
          <w:rFonts w:ascii="Century Gothic" w:hAnsi="Century Gothic" w:cs="Arial"/>
          <w:szCs w:val="22"/>
        </w:rPr>
      </w:pPr>
    </w:p>
    <w:p w:rsidR="002B0D8E" w:rsidRPr="00183657" w:rsidRDefault="002B0D8E" w:rsidP="002B0D8E">
      <w:pPr>
        <w:numPr>
          <w:ilvl w:val="0"/>
          <w:numId w:val="11"/>
        </w:numPr>
        <w:shd w:val="pct12" w:color="auto" w:fill="auto"/>
        <w:suppressAutoHyphens/>
        <w:ind w:left="709" w:hanging="709"/>
        <w:jc w:val="both"/>
        <w:rPr>
          <w:rFonts w:ascii="Century Gothic" w:hAnsi="Century Gothic" w:cs="Arial"/>
          <w:b/>
          <w:szCs w:val="22"/>
        </w:rPr>
      </w:pPr>
      <w:r w:rsidRPr="00183657">
        <w:rPr>
          <w:rFonts w:ascii="Century Gothic" w:hAnsi="Century Gothic" w:cs="Arial"/>
          <w:b/>
          <w:szCs w:val="22"/>
        </w:rPr>
        <w:lastRenderedPageBreak/>
        <w:t xml:space="preserve">Autres matières relatives à l’aménagement du territoire – à la mobilité – à l’environnement </w:t>
      </w:r>
    </w:p>
    <w:p w:rsidR="002B0D8E" w:rsidRPr="00183657" w:rsidRDefault="002B0D8E" w:rsidP="002B0D8E">
      <w:pPr>
        <w:suppressAutoHyphens/>
        <w:jc w:val="both"/>
        <w:rPr>
          <w:rFonts w:ascii="Century Gothic" w:hAnsi="Century Gothic" w:cs="Arial"/>
          <w:szCs w:val="22"/>
        </w:rPr>
      </w:pPr>
    </w:p>
    <w:p w:rsidR="002B0D8E" w:rsidRPr="00183657" w:rsidRDefault="002B0D8E" w:rsidP="002B0D8E">
      <w:pPr>
        <w:numPr>
          <w:ilvl w:val="0"/>
          <w:numId w:val="13"/>
        </w:numPr>
        <w:suppressAutoHyphens/>
        <w:ind w:left="284" w:hanging="284"/>
        <w:jc w:val="both"/>
        <w:rPr>
          <w:rFonts w:ascii="Century Gothic" w:hAnsi="Century Gothic" w:cs="Arial"/>
          <w:szCs w:val="22"/>
        </w:rPr>
      </w:pPr>
      <w:r w:rsidRPr="00183657">
        <w:rPr>
          <w:rFonts w:ascii="Century Gothic" w:hAnsi="Century Gothic" w:cs="Arial"/>
          <w:szCs w:val="22"/>
          <w:lang w:val="fr-BE"/>
        </w:rPr>
        <w:t>Tout dossier que le collège ou le conseil communal estiment pertinent ou toutes questions relatives au développement territorial, tant urbain que rural, à l’aménagement du territoire et à l’urbanisme (Art. D.I.9, alinéa 3)</w:t>
      </w:r>
    </w:p>
    <w:p w:rsidR="002B0D8E" w:rsidRPr="00183657" w:rsidRDefault="002B0D8E" w:rsidP="002B0D8E">
      <w:pPr>
        <w:numPr>
          <w:ilvl w:val="0"/>
          <w:numId w:val="13"/>
        </w:numPr>
        <w:suppressAutoHyphens/>
        <w:ind w:left="284" w:hanging="284"/>
        <w:jc w:val="both"/>
        <w:rPr>
          <w:rFonts w:ascii="Century Gothic" w:hAnsi="Century Gothic" w:cs="Arial"/>
          <w:szCs w:val="22"/>
        </w:rPr>
      </w:pPr>
      <w:r w:rsidRPr="00183657">
        <w:rPr>
          <w:rFonts w:ascii="Century Gothic" w:hAnsi="Century Gothic" w:cs="Arial"/>
          <w:szCs w:val="22"/>
        </w:rPr>
        <w:t>Grands projets communaux d’aménagement du territoire</w:t>
      </w:r>
    </w:p>
    <w:p w:rsidR="002B0D8E" w:rsidRPr="00183657" w:rsidRDefault="002B0D8E" w:rsidP="002B0D8E">
      <w:pPr>
        <w:numPr>
          <w:ilvl w:val="0"/>
          <w:numId w:val="13"/>
        </w:numPr>
        <w:suppressAutoHyphens/>
        <w:ind w:left="284" w:hanging="284"/>
        <w:jc w:val="both"/>
        <w:rPr>
          <w:rFonts w:ascii="Century Gothic" w:hAnsi="Century Gothic" w:cs="Arial"/>
          <w:szCs w:val="22"/>
        </w:rPr>
      </w:pPr>
      <w:r w:rsidRPr="00183657">
        <w:rPr>
          <w:rFonts w:ascii="Century Gothic" w:hAnsi="Century Gothic" w:cs="Arial"/>
          <w:szCs w:val="22"/>
        </w:rPr>
        <w:t>Révision du plan de secteur</w:t>
      </w:r>
    </w:p>
    <w:p w:rsidR="002B0D8E" w:rsidRPr="00183657" w:rsidRDefault="002B0D8E" w:rsidP="002B0D8E">
      <w:pPr>
        <w:numPr>
          <w:ilvl w:val="0"/>
          <w:numId w:val="13"/>
        </w:numPr>
        <w:suppressAutoHyphens/>
        <w:ind w:left="284" w:hanging="284"/>
        <w:jc w:val="both"/>
        <w:rPr>
          <w:rFonts w:ascii="Century Gothic" w:hAnsi="Century Gothic" w:cs="Arial"/>
          <w:szCs w:val="22"/>
        </w:rPr>
      </w:pPr>
      <w:r w:rsidRPr="00183657">
        <w:rPr>
          <w:rFonts w:ascii="Century Gothic" w:hAnsi="Century Gothic" w:cs="Arial"/>
          <w:szCs w:val="22"/>
        </w:rPr>
        <w:t>Développement rural : programme communal de développement rural (PCDR</w:t>
      </w:r>
      <w:r w:rsidRPr="00183657">
        <w:rPr>
          <w:rStyle w:val="Appelnotedebasdep"/>
          <w:rFonts w:ascii="Century Gothic" w:eastAsiaTheme="majorEastAsia" w:hAnsi="Century Gothic" w:cs="Arial"/>
          <w:b/>
          <w:szCs w:val="22"/>
        </w:rPr>
        <w:footnoteReference w:id="1"/>
      </w:r>
      <w:r w:rsidRPr="00183657">
        <w:rPr>
          <w:rFonts w:ascii="Century Gothic" w:hAnsi="Century Gothic" w:cs="Arial"/>
          <w:szCs w:val="22"/>
        </w:rPr>
        <w:t>)</w:t>
      </w:r>
    </w:p>
    <w:p w:rsidR="002B0D8E" w:rsidRPr="00183657" w:rsidRDefault="002B0D8E" w:rsidP="002B0D8E">
      <w:pPr>
        <w:numPr>
          <w:ilvl w:val="0"/>
          <w:numId w:val="13"/>
        </w:numPr>
        <w:suppressAutoHyphens/>
        <w:ind w:left="284" w:hanging="284"/>
        <w:jc w:val="both"/>
        <w:rPr>
          <w:rFonts w:ascii="Century Gothic" w:hAnsi="Century Gothic" w:cs="Arial"/>
          <w:szCs w:val="22"/>
        </w:rPr>
      </w:pPr>
      <w:r w:rsidRPr="00183657">
        <w:rPr>
          <w:rFonts w:ascii="Century Gothic" w:hAnsi="Century Gothic" w:cs="Arial"/>
          <w:szCs w:val="22"/>
        </w:rPr>
        <w:t>Environnement : programme communal de développement de la nature (PCDN)</w:t>
      </w:r>
    </w:p>
    <w:p w:rsidR="002B0D8E" w:rsidRPr="00183657" w:rsidRDefault="002B0D8E" w:rsidP="002B0D8E">
      <w:pPr>
        <w:numPr>
          <w:ilvl w:val="0"/>
          <w:numId w:val="13"/>
        </w:numPr>
        <w:suppressAutoHyphens/>
        <w:ind w:left="284" w:hanging="284"/>
        <w:jc w:val="both"/>
        <w:rPr>
          <w:rFonts w:ascii="Century Gothic" w:hAnsi="Century Gothic" w:cs="Arial"/>
          <w:szCs w:val="22"/>
        </w:rPr>
      </w:pPr>
      <w:r w:rsidRPr="00183657">
        <w:rPr>
          <w:rFonts w:ascii="Century Gothic" w:hAnsi="Century Gothic" w:cs="Arial"/>
          <w:szCs w:val="22"/>
        </w:rPr>
        <w:t>Mobilité : plan communal de mobilité (PCM), plans d’alignement, …</w:t>
      </w:r>
    </w:p>
    <w:p w:rsidR="002B0D8E" w:rsidRPr="00183657" w:rsidRDefault="002B0D8E" w:rsidP="002B0D8E">
      <w:pPr>
        <w:numPr>
          <w:ilvl w:val="0"/>
          <w:numId w:val="13"/>
        </w:numPr>
        <w:suppressAutoHyphens/>
        <w:ind w:left="284" w:hanging="284"/>
        <w:jc w:val="both"/>
        <w:rPr>
          <w:rFonts w:ascii="Century Gothic" w:hAnsi="Century Gothic" w:cs="Arial"/>
          <w:szCs w:val="22"/>
        </w:rPr>
      </w:pPr>
      <w:r w:rsidRPr="00183657">
        <w:rPr>
          <w:rFonts w:ascii="Century Gothic" w:hAnsi="Century Gothic" w:cs="Arial"/>
          <w:szCs w:val="22"/>
        </w:rPr>
        <w:t xml:space="preserve"> Patrimoine : élaboration de l’inventaire communal,...</w:t>
      </w:r>
    </w:p>
    <w:p w:rsidR="002B0D8E" w:rsidRPr="00183657" w:rsidRDefault="002B0D8E" w:rsidP="002B0D8E">
      <w:pPr>
        <w:numPr>
          <w:ilvl w:val="0"/>
          <w:numId w:val="13"/>
        </w:numPr>
        <w:suppressAutoHyphens/>
        <w:ind w:left="284" w:hanging="284"/>
        <w:jc w:val="both"/>
        <w:rPr>
          <w:rFonts w:ascii="Century Gothic" w:hAnsi="Century Gothic" w:cs="Arial"/>
          <w:szCs w:val="22"/>
        </w:rPr>
      </w:pPr>
      <w:r w:rsidRPr="00183657">
        <w:rPr>
          <w:rFonts w:ascii="Century Gothic" w:hAnsi="Century Gothic" w:cs="Arial"/>
          <w:szCs w:val="22"/>
        </w:rPr>
        <w:t>Divers</w:t>
      </w:r>
    </w:p>
    <w:p w:rsidR="002B0D8E" w:rsidRPr="00183657" w:rsidRDefault="002B0D8E" w:rsidP="002B0D8E">
      <w:pPr>
        <w:suppressAutoHyphens/>
        <w:jc w:val="both"/>
        <w:rPr>
          <w:rFonts w:ascii="Century Gothic" w:hAnsi="Century Gothic" w:cs="Arial"/>
          <w:szCs w:val="22"/>
        </w:rPr>
      </w:pPr>
    </w:p>
    <w:p w:rsidR="002B0D8E" w:rsidRPr="00183657" w:rsidRDefault="002B0D8E" w:rsidP="002B0D8E">
      <w:pPr>
        <w:suppressAutoHyphens/>
        <w:jc w:val="both"/>
        <w:rPr>
          <w:rFonts w:ascii="Century Gothic" w:hAnsi="Century Gothic" w:cs="Arial"/>
          <w:szCs w:val="22"/>
        </w:rPr>
      </w:pPr>
    </w:p>
    <w:p w:rsidR="002B0D8E" w:rsidRPr="00183657" w:rsidRDefault="002B0D8E" w:rsidP="002B0D8E">
      <w:pPr>
        <w:pStyle w:val="Paragraphedeliste"/>
        <w:numPr>
          <w:ilvl w:val="0"/>
          <w:numId w:val="10"/>
        </w:numPr>
        <w:suppressAutoHyphens/>
        <w:contextualSpacing w:val="0"/>
        <w:jc w:val="both"/>
        <w:rPr>
          <w:rFonts w:ascii="Century Gothic" w:hAnsi="Century Gothic" w:cs="Arial"/>
          <w:b/>
          <w:szCs w:val="22"/>
        </w:rPr>
      </w:pPr>
      <w:r w:rsidRPr="00183657">
        <w:rPr>
          <w:rFonts w:ascii="Century Gothic" w:hAnsi="Century Gothic" w:cs="Arial"/>
          <w:b/>
          <w:szCs w:val="22"/>
          <w:u w:val="single"/>
        </w:rPr>
        <w:t>Avis d’initiative</w:t>
      </w:r>
      <w:r w:rsidRPr="00183657">
        <w:rPr>
          <w:rFonts w:ascii="Century Gothic" w:hAnsi="Century Gothic" w:cs="Arial"/>
          <w:b/>
          <w:szCs w:val="22"/>
        </w:rPr>
        <w:t xml:space="preserve"> :</w:t>
      </w:r>
    </w:p>
    <w:p w:rsidR="002B0D8E" w:rsidRPr="00183657" w:rsidRDefault="002B0D8E" w:rsidP="002B0D8E">
      <w:pPr>
        <w:suppressAutoHyphens/>
        <w:jc w:val="both"/>
        <w:rPr>
          <w:rFonts w:ascii="Century Gothic" w:hAnsi="Century Gothic" w:cs="Arial"/>
          <w:b/>
          <w:szCs w:val="22"/>
        </w:rPr>
      </w:pPr>
    </w:p>
    <w:p w:rsidR="002B0D8E" w:rsidRPr="00183657" w:rsidRDefault="002B0D8E" w:rsidP="002B0D8E">
      <w:pPr>
        <w:suppressAutoHyphens/>
        <w:jc w:val="both"/>
        <w:rPr>
          <w:rFonts w:ascii="Century Gothic" w:hAnsi="Century Gothic" w:cs="Arial"/>
          <w:szCs w:val="22"/>
        </w:rPr>
      </w:pPr>
      <w:r w:rsidRPr="00183657">
        <w:rPr>
          <w:rFonts w:ascii="Century Gothic" w:hAnsi="Century Gothic" w:cs="Arial"/>
          <w:szCs w:val="22"/>
        </w:rPr>
        <w:t xml:space="preserve">La CCATM peut remettre un avis sur tout sujet qu’elle estime pertinent en matière d’aménagement du territoire, urbanisme et mobilité.  </w:t>
      </w:r>
    </w:p>
    <w:p w:rsidR="002B0D8E" w:rsidRPr="00183657" w:rsidRDefault="002B0D8E" w:rsidP="002B0D8E">
      <w:pPr>
        <w:suppressAutoHyphens/>
        <w:jc w:val="both"/>
        <w:rPr>
          <w:rFonts w:ascii="Century Gothic" w:hAnsi="Century Gothic" w:cs="Arial"/>
          <w:szCs w:val="22"/>
        </w:rPr>
      </w:pPr>
    </w:p>
    <w:p w:rsidR="002B0D8E" w:rsidRPr="00183657" w:rsidRDefault="002B0D8E" w:rsidP="002B0D8E">
      <w:pPr>
        <w:suppressAutoHyphens/>
        <w:jc w:val="both"/>
        <w:rPr>
          <w:rFonts w:ascii="Century Gothic" w:hAnsi="Century Gothic" w:cs="Arial"/>
          <w:szCs w:val="22"/>
        </w:rPr>
      </w:pPr>
      <w:r w:rsidRPr="00183657">
        <w:rPr>
          <w:rFonts w:ascii="Century Gothic" w:hAnsi="Century Gothic" w:cs="Arial"/>
          <w:szCs w:val="22"/>
        </w:rPr>
        <w:t xml:space="preserve">Le Code de l’environnement et le </w:t>
      </w:r>
      <w:proofErr w:type="spellStart"/>
      <w:r w:rsidRPr="00183657">
        <w:rPr>
          <w:rFonts w:ascii="Century Gothic" w:hAnsi="Century Gothic" w:cs="Arial"/>
          <w:szCs w:val="22"/>
        </w:rPr>
        <w:t>CoDT</w:t>
      </w:r>
      <w:proofErr w:type="spellEnd"/>
      <w:r w:rsidRPr="00183657">
        <w:rPr>
          <w:rFonts w:ascii="Century Gothic" w:hAnsi="Century Gothic" w:cs="Arial"/>
          <w:szCs w:val="22"/>
        </w:rPr>
        <w:t xml:space="preserve"> permettent également à la CCATM de :</w:t>
      </w:r>
    </w:p>
    <w:p w:rsidR="002B0D8E" w:rsidRPr="00183657" w:rsidRDefault="002B0D8E" w:rsidP="002B0D8E">
      <w:pPr>
        <w:suppressAutoHyphens/>
        <w:jc w:val="both"/>
        <w:rPr>
          <w:rFonts w:ascii="Century Gothic" w:hAnsi="Century Gothic" w:cs="Arial"/>
          <w:szCs w:val="22"/>
        </w:rPr>
      </w:pPr>
    </w:p>
    <w:p w:rsidR="002B0D8E" w:rsidRPr="00183657" w:rsidRDefault="002B0D8E" w:rsidP="002B0D8E">
      <w:pPr>
        <w:numPr>
          <w:ilvl w:val="0"/>
          <w:numId w:val="1"/>
        </w:numPr>
        <w:suppressAutoHyphens/>
        <w:ind w:left="284" w:hanging="284"/>
        <w:jc w:val="both"/>
        <w:rPr>
          <w:rFonts w:ascii="Century Gothic" w:hAnsi="Century Gothic" w:cs="Arial"/>
          <w:szCs w:val="22"/>
        </w:rPr>
      </w:pPr>
      <w:r w:rsidRPr="00183657">
        <w:rPr>
          <w:rFonts w:ascii="Century Gothic" w:hAnsi="Century Gothic" w:cs="Arial"/>
          <w:szCs w:val="22"/>
        </w:rPr>
        <w:t>demander des informations sur une demande de permis et sur le déroulement de l’étude d’incidences et/ou formulation d’observations ou de suggestions au gouvernement et à l’autorité compétente concernant une étude d’incidences (art. D.72 du Livre Ier du Code de l’environnement) ;</w:t>
      </w:r>
    </w:p>
    <w:p w:rsidR="002B0D8E" w:rsidRPr="00183657" w:rsidRDefault="002B0D8E" w:rsidP="002B0D8E">
      <w:pPr>
        <w:numPr>
          <w:ilvl w:val="0"/>
          <w:numId w:val="1"/>
        </w:numPr>
        <w:suppressAutoHyphens/>
        <w:ind w:left="284" w:hanging="284"/>
        <w:jc w:val="both"/>
        <w:rPr>
          <w:rFonts w:ascii="Century Gothic" w:hAnsi="Century Gothic" w:cs="Arial"/>
          <w:szCs w:val="22"/>
        </w:rPr>
      </w:pPr>
      <w:r w:rsidRPr="00183657">
        <w:rPr>
          <w:rFonts w:ascii="Century Gothic" w:hAnsi="Century Gothic" w:cs="Arial"/>
          <w:szCs w:val="22"/>
        </w:rPr>
        <w:t>proposer au ministre d’adresser un avertissement à l’auteur de projet d’une ou plusieurs étude(s) d’incidences jugée(s) insuffisante(s) ou incomplète(s) (art. R.70 du Livre Ier du Code de l’environnement) ;</w:t>
      </w:r>
    </w:p>
    <w:p w:rsidR="002B0D8E" w:rsidRPr="00183657" w:rsidRDefault="002B0D8E" w:rsidP="002B0D8E">
      <w:pPr>
        <w:numPr>
          <w:ilvl w:val="0"/>
          <w:numId w:val="1"/>
        </w:numPr>
        <w:suppressAutoHyphens/>
        <w:ind w:left="284" w:hanging="284"/>
        <w:jc w:val="both"/>
        <w:rPr>
          <w:rFonts w:ascii="Century Gothic" w:hAnsi="Century Gothic" w:cs="Arial"/>
          <w:szCs w:val="22"/>
        </w:rPr>
      </w:pPr>
      <w:r w:rsidRPr="00183657">
        <w:rPr>
          <w:rFonts w:ascii="Century Gothic" w:hAnsi="Century Gothic" w:cs="Arial"/>
          <w:szCs w:val="22"/>
        </w:rPr>
        <w:t xml:space="preserve">déléguer des membres à une réunion de consultation préalable du public relative à une demande de permis soumise à étude d’incidences sur l’environnement (art. D.29 et R.41-3 du Livre Ier du Code de l’environnement) ou à une réunion d’information préalable du public organisées pour les révisions de plans de secteur d’initiative communale ou émanant d’une personne physique ou morale (art. D.VIII.5 du </w:t>
      </w:r>
      <w:proofErr w:type="spellStart"/>
      <w:r w:rsidRPr="00183657">
        <w:rPr>
          <w:rFonts w:ascii="Century Gothic" w:hAnsi="Century Gothic" w:cs="Arial"/>
          <w:szCs w:val="22"/>
        </w:rPr>
        <w:t>CoDT</w:t>
      </w:r>
      <w:proofErr w:type="spellEnd"/>
      <w:r w:rsidRPr="00183657">
        <w:rPr>
          <w:rFonts w:ascii="Century Gothic" w:hAnsi="Century Gothic" w:cs="Arial"/>
          <w:szCs w:val="22"/>
        </w:rPr>
        <w:t>) ;</w:t>
      </w:r>
    </w:p>
    <w:p w:rsidR="002B0D8E" w:rsidRPr="00183657" w:rsidRDefault="002B0D8E" w:rsidP="002B0D8E">
      <w:pPr>
        <w:numPr>
          <w:ilvl w:val="0"/>
          <w:numId w:val="1"/>
        </w:numPr>
        <w:suppressAutoHyphens/>
        <w:ind w:left="284" w:hanging="284"/>
        <w:jc w:val="both"/>
        <w:rPr>
          <w:rFonts w:ascii="Century Gothic" w:hAnsi="Century Gothic" w:cs="Arial"/>
          <w:szCs w:val="22"/>
        </w:rPr>
      </w:pPr>
      <w:r w:rsidRPr="00183657">
        <w:rPr>
          <w:rFonts w:ascii="Century Gothic" w:hAnsi="Century Gothic" w:cs="Arial"/>
          <w:szCs w:val="22"/>
        </w:rPr>
        <w:t>réceptionner la notification du choix d’un auteur d’étude d’incidences sur l’environnement (art. R.72 du Livre Ier du Code de l’environnement).</w:t>
      </w:r>
    </w:p>
    <w:p w:rsidR="002B0D8E" w:rsidRPr="00183657" w:rsidRDefault="002B0D8E" w:rsidP="002B0D8E">
      <w:pPr>
        <w:pStyle w:val="Corpsdetexte"/>
        <w:tabs>
          <w:tab w:val="clear" w:pos="0"/>
          <w:tab w:val="left" w:pos="708"/>
        </w:tabs>
        <w:suppressAutoHyphens/>
        <w:rPr>
          <w:rFonts w:ascii="Century Gothic" w:hAnsi="Century Gothic"/>
          <w:sz w:val="22"/>
          <w:szCs w:val="22"/>
          <w:highlight w:val="yellow"/>
        </w:rPr>
      </w:pPr>
    </w:p>
    <w:p w:rsidR="002B0D8E" w:rsidRPr="00183657" w:rsidRDefault="002B0D8E" w:rsidP="002B0D8E">
      <w:pPr>
        <w:pStyle w:val="Corpsdetexte"/>
        <w:tabs>
          <w:tab w:val="clear" w:pos="0"/>
          <w:tab w:val="left" w:pos="708"/>
        </w:tabs>
        <w:suppressAutoHyphens/>
        <w:rPr>
          <w:rFonts w:ascii="Century Gothic" w:hAnsi="Century Gothic"/>
          <w:sz w:val="22"/>
          <w:szCs w:val="22"/>
        </w:rPr>
      </w:pPr>
      <w:r w:rsidRPr="00183657">
        <w:rPr>
          <w:rFonts w:ascii="Century Gothic" w:hAnsi="Century Gothic"/>
          <w:sz w:val="22"/>
          <w:szCs w:val="22"/>
        </w:rPr>
        <w:t xml:space="preserve">Le collège communal ou le conseil communal peut, d’initiative, soumettre des dossiers pour avis à la CCATM.  </w:t>
      </w:r>
    </w:p>
    <w:p w:rsidR="002B0D8E" w:rsidRPr="00183657" w:rsidRDefault="002B0D8E" w:rsidP="002B0D8E">
      <w:pPr>
        <w:pStyle w:val="Corpsdetexte"/>
        <w:tabs>
          <w:tab w:val="clear" w:pos="0"/>
          <w:tab w:val="left" w:pos="708"/>
        </w:tabs>
        <w:suppressAutoHyphens/>
        <w:rPr>
          <w:rFonts w:ascii="Century Gothic" w:hAnsi="Century Gothic"/>
          <w:sz w:val="22"/>
          <w:szCs w:val="22"/>
        </w:rPr>
      </w:pPr>
    </w:p>
    <w:p w:rsidR="002B0D8E" w:rsidRPr="00183657" w:rsidRDefault="002B0D8E" w:rsidP="002B0D8E">
      <w:pPr>
        <w:tabs>
          <w:tab w:val="num" w:pos="0"/>
        </w:tabs>
        <w:suppressAutoHyphens/>
        <w:jc w:val="both"/>
        <w:rPr>
          <w:rFonts w:ascii="Century Gothic" w:hAnsi="Century Gothic"/>
          <w:szCs w:val="22"/>
        </w:rPr>
      </w:pPr>
      <w:r w:rsidRPr="00183657">
        <w:rPr>
          <w:rFonts w:ascii="Century Gothic" w:hAnsi="Century Gothic"/>
          <w:szCs w:val="22"/>
        </w:rPr>
        <w:t>Vu l’intérêt pour la commune de s’entourer de plusieurs avis, il est opportun de distinguer l’avis de la CCATM de ceux émis par d’autres services administratifs communaux sollicités à l’occasion de l’instruction d’une demande ou par d’autres administrations.</w:t>
      </w:r>
    </w:p>
    <w:p w:rsidR="00AA6273" w:rsidRPr="00183657" w:rsidRDefault="00AA6273">
      <w:pPr>
        <w:rPr>
          <w:szCs w:val="22"/>
        </w:rPr>
      </w:pPr>
    </w:p>
    <w:sectPr w:rsidR="00AA6273" w:rsidRPr="00183657" w:rsidSect="00AA62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D8E" w:rsidRDefault="002B0D8E" w:rsidP="002B0D8E">
      <w:r>
        <w:separator/>
      </w:r>
    </w:p>
  </w:endnote>
  <w:endnote w:type="continuationSeparator" w:id="0">
    <w:p w:rsidR="002B0D8E" w:rsidRDefault="002B0D8E" w:rsidP="002B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657" w:rsidRDefault="0018365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50466730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183657" w:rsidRPr="00183657" w:rsidRDefault="00183657" w:rsidP="00183657">
            <w:pPr>
              <w:pStyle w:val="Pieddepage"/>
              <w:rPr>
                <w:rFonts w:asciiTheme="minorHAnsi" w:eastAsia="Calibri" w:hAnsiTheme="minorHAnsi" w:cstheme="minorHAnsi"/>
                <w:sz w:val="18"/>
                <w:szCs w:val="18"/>
                <w:lang w:val="fr-BE" w:eastAsia="en-US"/>
              </w:rPr>
            </w:pPr>
            <w:r w:rsidRPr="00183657">
              <w:rPr>
                <w:rFonts w:asciiTheme="minorHAnsi" w:eastAsia="Calibri" w:hAnsiTheme="minorHAnsi" w:cstheme="minorHAnsi"/>
                <w:sz w:val="18"/>
                <w:szCs w:val="18"/>
                <w:lang w:val="fr-BE" w:eastAsia="en-US"/>
              </w:rPr>
              <w:t xml:space="preserve">Appel à candidature – CCATM 2018-2024  </w:t>
            </w:r>
          </w:p>
          <w:p w:rsidR="00183657" w:rsidRDefault="00183657" w:rsidP="00183657">
            <w:pPr>
              <w:pStyle w:val="Pieddepage"/>
              <w:rPr>
                <w:rFonts w:asciiTheme="minorHAnsi" w:eastAsia="Calibri" w:hAnsiTheme="minorHAnsi" w:cstheme="minorHAnsi"/>
                <w:sz w:val="18"/>
                <w:szCs w:val="18"/>
                <w:lang w:val="fr-BE" w:eastAsia="en-US"/>
              </w:rPr>
            </w:pPr>
            <w:r w:rsidRPr="00183657">
              <w:rPr>
                <w:rFonts w:asciiTheme="minorHAnsi" w:eastAsia="Calibri" w:hAnsiTheme="minorHAnsi" w:cstheme="minorHAnsi"/>
                <w:sz w:val="18"/>
                <w:szCs w:val="18"/>
                <w:lang w:val="fr-BE" w:eastAsia="en-US"/>
              </w:rPr>
              <w:t xml:space="preserve">Annexe 1 : Missions de la CCATM </w:t>
            </w:r>
          </w:p>
          <w:p w:rsidR="00183657" w:rsidRPr="00183657" w:rsidRDefault="00183657" w:rsidP="00183657">
            <w:pPr>
              <w:pStyle w:val="Pieddepage"/>
              <w:rPr>
                <w:rFonts w:asciiTheme="minorHAnsi" w:eastAsia="Calibri" w:hAnsiTheme="minorHAnsi" w:cstheme="minorHAnsi"/>
                <w:sz w:val="16"/>
                <w:szCs w:val="16"/>
                <w:lang w:val="fr-BE" w:eastAsia="en-US"/>
              </w:rPr>
            </w:pPr>
          </w:p>
          <w:p w:rsidR="00183657" w:rsidRPr="00183657" w:rsidRDefault="00183657">
            <w:pPr>
              <w:pStyle w:val="Pieddepage"/>
              <w:jc w:val="right"/>
              <w:rPr>
                <w:rFonts w:asciiTheme="minorHAnsi" w:hAnsiTheme="minorHAnsi" w:cstheme="minorHAnsi"/>
              </w:rPr>
            </w:pPr>
            <w:r w:rsidRPr="00183657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1836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1836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1836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1836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1836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183657">
              <w:rPr>
                <w:rFonts w:asciiTheme="minorHAnsi" w:hAnsiTheme="minorHAnsi" w:cstheme="minorHAnsi"/>
                <w:sz w:val="18"/>
                <w:szCs w:val="18"/>
              </w:rPr>
              <w:t xml:space="preserve"> sur </w:t>
            </w:r>
            <w:r w:rsidRPr="001836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1836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1836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1836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1836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83657" w:rsidRPr="00183657" w:rsidRDefault="00183657">
    <w:pPr>
      <w:pStyle w:val="Pieddepag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657" w:rsidRDefault="001836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D8E" w:rsidRDefault="002B0D8E" w:rsidP="002B0D8E">
      <w:r>
        <w:separator/>
      </w:r>
    </w:p>
  </w:footnote>
  <w:footnote w:type="continuationSeparator" w:id="0">
    <w:p w:rsidR="002B0D8E" w:rsidRDefault="002B0D8E" w:rsidP="002B0D8E">
      <w:r>
        <w:continuationSeparator/>
      </w:r>
    </w:p>
  </w:footnote>
  <w:footnote w:id="1">
    <w:p w:rsidR="002B0D8E" w:rsidRDefault="002B0D8E" w:rsidP="002B0D8E">
      <w:pPr>
        <w:pStyle w:val="Notedebasdepage"/>
        <w:rPr>
          <w:lang w:val="fr-BE"/>
        </w:rPr>
      </w:pPr>
      <w:r>
        <w:rPr>
          <w:rStyle w:val="Appelnotedebasdep"/>
          <w:rFonts w:eastAsiaTheme="majorEastAsia"/>
        </w:rPr>
        <w:footnoteRef/>
      </w:r>
      <w:r>
        <w:t xml:space="preserve"> </w:t>
      </w:r>
      <w:r>
        <w:rPr>
          <w:lang w:val="fr-BE"/>
        </w:rPr>
        <w:t>Les communes qui décident de mener une opération de développement rural et qui disposent d’une CCATM peuvent organiser une seule commission pour les deux matières (décret du 6 juin 1991 relatif au développement rural M.B. du 11.03.1992, p. 5118)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657" w:rsidRDefault="0018365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657" w:rsidRDefault="00183657">
    <w:pPr>
      <w:pStyle w:val="En-tte"/>
    </w:pPr>
  </w:p>
  <w:p w:rsidR="00183657" w:rsidRDefault="0018365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657" w:rsidRDefault="001836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C18"/>
    <w:multiLevelType w:val="hybridMultilevel"/>
    <w:tmpl w:val="68A62DE4"/>
    <w:lvl w:ilvl="0" w:tplc="08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95611"/>
    <w:multiLevelType w:val="hybridMultilevel"/>
    <w:tmpl w:val="6B14783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CA7B64"/>
    <w:multiLevelType w:val="hybridMultilevel"/>
    <w:tmpl w:val="6930BAB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7786E"/>
    <w:multiLevelType w:val="hybridMultilevel"/>
    <w:tmpl w:val="304402DC"/>
    <w:lvl w:ilvl="0" w:tplc="080C000F">
      <w:start w:val="1"/>
      <w:numFmt w:val="decimal"/>
      <w:lvlText w:val="%1."/>
      <w:lvlJc w:val="left"/>
      <w:pPr>
        <w:ind w:left="644" w:hanging="360"/>
      </w:p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25492"/>
    <w:multiLevelType w:val="hybridMultilevel"/>
    <w:tmpl w:val="62D4CB4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2B0F76"/>
    <w:multiLevelType w:val="hybridMultilevel"/>
    <w:tmpl w:val="74986A6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7E2631"/>
    <w:multiLevelType w:val="hybridMultilevel"/>
    <w:tmpl w:val="6B147834"/>
    <w:lvl w:ilvl="0" w:tplc="080C000F">
      <w:start w:val="1"/>
      <w:numFmt w:val="decimal"/>
      <w:lvlText w:val="%1."/>
      <w:lvlJc w:val="left"/>
      <w:pPr>
        <w:ind w:left="644" w:hanging="360"/>
      </w:p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5C4D8E"/>
    <w:multiLevelType w:val="hybridMultilevel"/>
    <w:tmpl w:val="16B0E4A0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B5750A"/>
    <w:multiLevelType w:val="hybridMultilevel"/>
    <w:tmpl w:val="A1D8768A"/>
    <w:lvl w:ilvl="0" w:tplc="1370F9D2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0F5FDD"/>
    <w:multiLevelType w:val="hybridMultilevel"/>
    <w:tmpl w:val="C37616F0"/>
    <w:lvl w:ilvl="0" w:tplc="AEDCBA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C71B88"/>
    <w:multiLevelType w:val="hybridMultilevel"/>
    <w:tmpl w:val="B42A5D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775782"/>
    <w:multiLevelType w:val="hybridMultilevel"/>
    <w:tmpl w:val="3EC46C54"/>
    <w:lvl w:ilvl="0" w:tplc="D65E90B6">
      <w:start w:val="1"/>
      <w:numFmt w:val="upperRoman"/>
      <w:lvlText w:val="%1."/>
      <w:lvlJc w:val="left"/>
      <w:pPr>
        <w:ind w:left="1080" w:hanging="720"/>
      </w:p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377E87"/>
    <w:multiLevelType w:val="hybridMultilevel"/>
    <w:tmpl w:val="7CDA2E7E"/>
    <w:lvl w:ilvl="0" w:tplc="22A8C782">
      <w:start w:val="1"/>
      <w:numFmt w:val="upperRoman"/>
      <w:lvlText w:val="%1."/>
      <w:lvlJc w:val="left"/>
      <w:pPr>
        <w:ind w:left="720" w:hanging="720"/>
      </w:p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D8E"/>
    <w:rsid w:val="000158E4"/>
    <w:rsid w:val="00061904"/>
    <w:rsid w:val="000D3216"/>
    <w:rsid w:val="000F2531"/>
    <w:rsid w:val="001001BE"/>
    <w:rsid w:val="00176878"/>
    <w:rsid w:val="00183657"/>
    <w:rsid w:val="002122BC"/>
    <w:rsid w:val="002603EB"/>
    <w:rsid w:val="002B0D8E"/>
    <w:rsid w:val="002E49DB"/>
    <w:rsid w:val="002F042B"/>
    <w:rsid w:val="0032483B"/>
    <w:rsid w:val="00362E55"/>
    <w:rsid w:val="003C40A6"/>
    <w:rsid w:val="00416726"/>
    <w:rsid w:val="00437E1C"/>
    <w:rsid w:val="004E43F2"/>
    <w:rsid w:val="00501C76"/>
    <w:rsid w:val="0050553C"/>
    <w:rsid w:val="00516994"/>
    <w:rsid w:val="005302FF"/>
    <w:rsid w:val="00554A1A"/>
    <w:rsid w:val="00595A3E"/>
    <w:rsid w:val="00621590"/>
    <w:rsid w:val="006424C3"/>
    <w:rsid w:val="00650248"/>
    <w:rsid w:val="006679E1"/>
    <w:rsid w:val="0069690E"/>
    <w:rsid w:val="00696B93"/>
    <w:rsid w:val="0077766C"/>
    <w:rsid w:val="007B167C"/>
    <w:rsid w:val="007E3858"/>
    <w:rsid w:val="008025CB"/>
    <w:rsid w:val="0085515B"/>
    <w:rsid w:val="00872321"/>
    <w:rsid w:val="008A3E81"/>
    <w:rsid w:val="008D5ECA"/>
    <w:rsid w:val="008E68EC"/>
    <w:rsid w:val="00941BB3"/>
    <w:rsid w:val="00946038"/>
    <w:rsid w:val="00972B65"/>
    <w:rsid w:val="009802CD"/>
    <w:rsid w:val="00981D8A"/>
    <w:rsid w:val="009C18BA"/>
    <w:rsid w:val="00A1665B"/>
    <w:rsid w:val="00A63B8E"/>
    <w:rsid w:val="00A876B5"/>
    <w:rsid w:val="00A966B0"/>
    <w:rsid w:val="00AA6273"/>
    <w:rsid w:val="00AD4810"/>
    <w:rsid w:val="00B21C30"/>
    <w:rsid w:val="00BD482B"/>
    <w:rsid w:val="00C1017A"/>
    <w:rsid w:val="00C26FAD"/>
    <w:rsid w:val="00C55D67"/>
    <w:rsid w:val="00CE26A7"/>
    <w:rsid w:val="00D21EA7"/>
    <w:rsid w:val="00D4333E"/>
    <w:rsid w:val="00D51FEF"/>
    <w:rsid w:val="00D75626"/>
    <w:rsid w:val="00DA3BC7"/>
    <w:rsid w:val="00DC0471"/>
    <w:rsid w:val="00E17374"/>
    <w:rsid w:val="00E26641"/>
    <w:rsid w:val="00E577F7"/>
    <w:rsid w:val="00E83461"/>
    <w:rsid w:val="00E85EFD"/>
    <w:rsid w:val="00EF5BD1"/>
    <w:rsid w:val="00F0445B"/>
    <w:rsid w:val="00F40A4A"/>
    <w:rsid w:val="00F663BA"/>
    <w:rsid w:val="00F769E7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0BF042"/>
  <w15:docId w15:val="{5F81716A-9C64-4889-ACD8-A3420A33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D8E"/>
    <w:rPr>
      <w:rFonts w:ascii="Arial" w:eastAsia="Times New Roman" w:hAnsi="Arial"/>
      <w:sz w:val="22"/>
      <w:lang w:val="fr-FR" w:eastAsia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E26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266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26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266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66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266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266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266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266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266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E266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E2664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26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customStyle="1" w:styleId="Titre2Car">
    <w:name w:val="Titre 2 Car"/>
    <w:basedOn w:val="Policepardfaut"/>
    <w:link w:val="Titre2"/>
    <w:uiPriority w:val="9"/>
    <w:rsid w:val="00E26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E2664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E2664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E2664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E2664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E2664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E26641"/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E26641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26641"/>
    <w:rPr>
      <w:b/>
      <w:bCs/>
      <w:color w:val="4F81BD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266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rsid w:val="00E266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lev">
    <w:name w:val="Strong"/>
    <w:basedOn w:val="Policepardfaut"/>
    <w:uiPriority w:val="22"/>
    <w:qFormat/>
    <w:rsid w:val="00E26641"/>
    <w:rPr>
      <w:b/>
      <w:bCs/>
    </w:rPr>
  </w:style>
  <w:style w:type="character" w:styleId="Accentuation">
    <w:name w:val="Emphasis"/>
    <w:basedOn w:val="Policepardfaut"/>
    <w:uiPriority w:val="20"/>
    <w:qFormat/>
    <w:rsid w:val="00E26641"/>
    <w:rPr>
      <w:i/>
      <w:iCs/>
    </w:rPr>
  </w:style>
  <w:style w:type="paragraph" w:styleId="Sansinterligne">
    <w:name w:val="No Spacing"/>
    <w:link w:val="SansinterligneCar"/>
    <w:uiPriority w:val="1"/>
    <w:qFormat/>
    <w:rsid w:val="00E26641"/>
    <w:rPr>
      <w:rFonts w:asciiTheme="minorHAnsi" w:hAnsiTheme="minorHAnsi" w:cstheme="minorBidi"/>
      <w:sz w:val="22"/>
      <w:szCs w:val="22"/>
      <w:lang w:val="en-US"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26641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E26641"/>
    <w:rPr>
      <w:i/>
      <w:iCs/>
      <w:color w:val="000000" w:themeColor="text1"/>
      <w:lang w:val="en-US"/>
    </w:rPr>
  </w:style>
  <w:style w:type="character" w:customStyle="1" w:styleId="CitationCar">
    <w:name w:val="Citation Car"/>
    <w:basedOn w:val="Policepardfaut"/>
    <w:link w:val="Citation"/>
    <w:uiPriority w:val="29"/>
    <w:rsid w:val="00E26641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266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26641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styleId="Accentuationlgre">
    <w:name w:val="Subtle Emphasis"/>
    <w:basedOn w:val="Policepardfaut"/>
    <w:uiPriority w:val="19"/>
    <w:qFormat/>
    <w:rsid w:val="00E26641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E26641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sid w:val="00E26641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26641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26641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26641"/>
    <w:pPr>
      <w:outlineLvl w:val="9"/>
    </w:pPr>
    <w:rPr>
      <w:lang w:val="fr-BE"/>
    </w:rPr>
  </w:style>
  <w:style w:type="paragraph" w:customStyle="1" w:styleId="Styleessai">
    <w:name w:val="Styleessai"/>
    <w:basedOn w:val="Normal"/>
    <w:link w:val="StyleessaiCar"/>
    <w:rsid w:val="00C55D67"/>
    <w:rPr>
      <w:b/>
      <w:i/>
      <w:sz w:val="32"/>
      <w:szCs w:val="32"/>
      <w:u w:val="single"/>
    </w:rPr>
  </w:style>
  <w:style w:type="character" w:customStyle="1" w:styleId="StyleessaiCar">
    <w:name w:val="Styleessai Car"/>
    <w:basedOn w:val="Policepardfaut"/>
    <w:link w:val="Styleessai"/>
    <w:rsid w:val="00C55D67"/>
    <w:rPr>
      <w:rFonts w:asciiTheme="minorHAnsi" w:hAnsiTheme="minorHAnsi" w:cstheme="minorBidi"/>
      <w:b/>
      <w:i/>
      <w:sz w:val="32"/>
      <w:szCs w:val="32"/>
      <w:u w:val="single"/>
      <w:lang w:val="fr-BE" w:eastAsia="en-US" w:bidi="en-US"/>
    </w:rPr>
  </w:style>
  <w:style w:type="paragraph" w:customStyle="1" w:styleId="Styleessaiexamen">
    <w:name w:val="Styleessaiexamen"/>
    <w:basedOn w:val="Styleessai"/>
    <w:link w:val="StyleessaiexamenCar"/>
    <w:rsid w:val="00C55D67"/>
  </w:style>
  <w:style w:type="character" w:customStyle="1" w:styleId="StyleessaiexamenCar">
    <w:name w:val="Styleessaiexamen Car"/>
    <w:basedOn w:val="StyleessaiCar"/>
    <w:link w:val="Styleessaiexamen"/>
    <w:rsid w:val="00C55D67"/>
    <w:rPr>
      <w:rFonts w:asciiTheme="minorHAnsi" w:hAnsiTheme="minorHAnsi" w:cstheme="minorBidi"/>
      <w:b/>
      <w:i/>
      <w:sz w:val="32"/>
      <w:szCs w:val="32"/>
      <w:u w:val="single"/>
      <w:lang w:val="fr-BE" w:eastAsia="en-US" w:bidi="en-US"/>
    </w:rPr>
  </w:style>
  <w:style w:type="paragraph" w:customStyle="1" w:styleId="Style1">
    <w:name w:val="Style1"/>
    <w:basedOn w:val="Styleessaiexamen"/>
    <w:link w:val="Style1Car"/>
    <w:rsid w:val="00C55D67"/>
    <w:pPr>
      <w:ind w:firstLine="851"/>
    </w:pPr>
  </w:style>
  <w:style w:type="character" w:customStyle="1" w:styleId="Style1Car">
    <w:name w:val="Style1 Car"/>
    <w:basedOn w:val="StyleessaiexamenCar"/>
    <w:link w:val="Style1"/>
    <w:rsid w:val="00C55D67"/>
    <w:rPr>
      <w:rFonts w:asciiTheme="minorHAnsi" w:hAnsiTheme="minorHAnsi" w:cstheme="minorBidi"/>
      <w:b/>
      <w:i/>
      <w:sz w:val="32"/>
      <w:szCs w:val="32"/>
      <w:u w:val="single"/>
      <w:lang w:val="fr-BE" w:eastAsia="en-US" w:bidi="en-US"/>
    </w:rPr>
  </w:style>
  <w:style w:type="paragraph" w:customStyle="1" w:styleId="Style2essaiexa">
    <w:name w:val="Style2essaiexa"/>
    <w:basedOn w:val="Normal"/>
    <w:link w:val="Style2essaiexaCar"/>
    <w:qFormat/>
    <w:rsid w:val="00E26641"/>
  </w:style>
  <w:style w:type="character" w:customStyle="1" w:styleId="Style2essaiexaCar">
    <w:name w:val="Style2essaiexa Car"/>
    <w:basedOn w:val="Policepardfaut"/>
    <w:link w:val="Style2essaiexa"/>
    <w:rsid w:val="00E26641"/>
    <w:rPr>
      <w:rFonts w:asciiTheme="minorHAnsi" w:hAnsiTheme="minorHAnsi" w:cstheme="minorBidi"/>
      <w:sz w:val="22"/>
      <w:szCs w:val="22"/>
      <w:lang w:val="fr-BE" w:eastAsia="en-US" w:bidi="en-US"/>
    </w:rPr>
  </w:style>
  <w:style w:type="paragraph" w:customStyle="1" w:styleId="essaifinal2">
    <w:name w:val="essaifinal2"/>
    <w:basedOn w:val="Style2essaiexa"/>
    <w:qFormat/>
    <w:rsid w:val="00E26641"/>
    <w:rPr>
      <w:sz w:val="40"/>
      <w:szCs w:val="40"/>
    </w:rPr>
  </w:style>
  <w:style w:type="paragraph" w:customStyle="1" w:styleId="FINAL3">
    <w:name w:val="FINAL3"/>
    <w:basedOn w:val="Normal"/>
    <w:link w:val="FINAL3Car"/>
    <w:qFormat/>
    <w:rsid w:val="0032483B"/>
    <w:rPr>
      <w:sz w:val="32"/>
      <w:szCs w:val="32"/>
    </w:rPr>
  </w:style>
  <w:style w:type="character" w:customStyle="1" w:styleId="FINAL3Car">
    <w:name w:val="FINAL3 Car"/>
    <w:basedOn w:val="Policepardfaut"/>
    <w:link w:val="FINAL3"/>
    <w:rsid w:val="0032483B"/>
    <w:rPr>
      <w:rFonts w:asciiTheme="minorHAnsi" w:hAnsiTheme="minorHAnsi" w:cstheme="minorBidi"/>
      <w:sz w:val="32"/>
      <w:szCs w:val="32"/>
      <w:lang w:val="fr-BE" w:eastAsia="en-US"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0D8E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0D8E"/>
    <w:rPr>
      <w:rFonts w:ascii="Arial" w:eastAsia="Times New Roman" w:hAnsi="Arial"/>
      <w:lang w:val="fr-FR" w:eastAsia="fr-BE"/>
    </w:rPr>
  </w:style>
  <w:style w:type="paragraph" w:styleId="Corpsdetexte">
    <w:name w:val="Body Text"/>
    <w:basedOn w:val="Normal"/>
    <w:link w:val="CorpsdetexteCar"/>
    <w:semiHidden/>
    <w:unhideWhenUsed/>
    <w:rsid w:val="002B0D8E"/>
    <w:pPr>
      <w:tabs>
        <w:tab w:val="left" w:pos="0"/>
      </w:tabs>
      <w:jc w:val="both"/>
    </w:pPr>
    <w:rPr>
      <w:rFonts w:ascii="Bookman Old Style" w:hAnsi="Bookman Old Style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2B0D8E"/>
    <w:rPr>
      <w:rFonts w:ascii="Bookman Old Style" w:eastAsia="Times New Roman" w:hAnsi="Bookman Old Style"/>
      <w:sz w:val="24"/>
      <w:lang w:val="fr-FR" w:eastAsia="fr-BE"/>
    </w:rPr>
  </w:style>
  <w:style w:type="character" w:styleId="Appelnotedebasdep">
    <w:name w:val="footnote reference"/>
    <w:basedOn w:val="Policepardfaut"/>
    <w:uiPriority w:val="99"/>
    <w:semiHidden/>
    <w:unhideWhenUsed/>
    <w:rsid w:val="002B0D8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0D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D8E"/>
    <w:rPr>
      <w:rFonts w:ascii="Tahoma" w:eastAsia="Times New Roman" w:hAnsi="Tahoma" w:cs="Tahoma"/>
      <w:sz w:val="16"/>
      <w:szCs w:val="16"/>
      <w:lang w:val="fr-FR" w:eastAsia="fr-BE"/>
    </w:rPr>
  </w:style>
  <w:style w:type="paragraph" w:styleId="En-tte">
    <w:name w:val="header"/>
    <w:basedOn w:val="Normal"/>
    <w:link w:val="En-tteCar"/>
    <w:uiPriority w:val="99"/>
    <w:unhideWhenUsed/>
    <w:rsid w:val="001836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3657"/>
    <w:rPr>
      <w:rFonts w:ascii="Arial" w:eastAsia="Times New Roman" w:hAnsi="Arial"/>
      <w:sz w:val="22"/>
      <w:lang w:val="fr-FR" w:eastAsia="fr-BE"/>
    </w:rPr>
  </w:style>
  <w:style w:type="paragraph" w:styleId="Pieddepage">
    <w:name w:val="footer"/>
    <w:basedOn w:val="Normal"/>
    <w:link w:val="PieddepageCar"/>
    <w:uiPriority w:val="99"/>
    <w:unhideWhenUsed/>
    <w:rsid w:val="001836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3657"/>
    <w:rPr>
      <w:rFonts w:ascii="Arial" w:eastAsia="Times New Roman" w:hAnsi="Arial"/>
      <w:sz w:val="22"/>
      <w:lang w:val="fr-FR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953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114529</dc:creator>
  <cp:lastModifiedBy>LECHAT Florence</cp:lastModifiedBy>
  <cp:revision>5</cp:revision>
  <cp:lastPrinted>2019-03-19T07:22:00Z</cp:lastPrinted>
  <dcterms:created xsi:type="dcterms:W3CDTF">2019-03-08T14:47:00Z</dcterms:created>
  <dcterms:modified xsi:type="dcterms:W3CDTF">2019-11-18T15:04:00Z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florence.lechat@spw.wallonie.be</vt:lpwstr>
  </property>
  <property fmtid="{D5CDD505-2E9C-101B-9397-08002B2CF9AE}" pid="5" name="MSIP_Label_e72a09c5-6e26-4737-a926-47ef1ab198ae_SetDate">
    <vt:lpwstr>2019-11-18T15:04:50.4166889Z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1c73840c-0e17-482f-afc4-a79fbda1d655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