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864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0"/>
        <w:gridCol w:w="4536"/>
      </w:tblGrid>
      <w:tr w:rsidR="00911256" w:rsidRPr="00D20C90" w:rsidTr="0032224C">
        <w:trPr>
          <w:trHeight w:val="2864"/>
        </w:trPr>
        <w:tc>
          <w:tcPr>
            <w:tcW w:w="4110" w:type="dxa"/>
          </w:tcPr>
          <w:p w:rsidR="00911256" w:rsidRPr="00D20C90" w:rsidRDefault="00911256" w:rsidP="00BC2C62">
            <w:pPr>
              <w:rPr>
                <w:rFonts w:ascii="Arial" w:hAnsi="Arial" w:cs="Arial"/>
                <w:caps/>
                <w:color w:val="414B56"/>
                <w:sz w:val="16"/>
                <w:szCs w:val="16"/>
              </w:rPr>
            </w:pPr>
            <w:r w:rsidRPr="00D20C90">
              <w:rPr>
                <w:rFonts w:ascii="Arial" w:hAnsi="Arial" w:cs="Arial"/>
                <w:caps/>
                <w:color w:val="414B56"/>
                <w:sz w:val="16"/>
                <w:szCs w:val="16"/>
              </w:rPr>
              <w:t xml:space="preserve">Département de </w:t>
            </w:r>
          </w:p>
          <w:p w:rsidR="00911256" w:rsidRPr="00D20C90" w:rsidRDefault="00911256" w:rsidP="00BC2C62">
            <w:pPr>
              <w:rPr>
                <w:rFonts w:ascii="Arial" w:hAnsi="Arial" w:cs="Arial"/>
                <w:caps/>
                <w:color w:val="414B56"/>
                <w:sz w:val="16"/>
                <w:szCs w:val="16"/>
              </w:rPr>
            </w:pPr>
            <w:r w:rsidRPr="00D20C90">
              <w:rPr>
                <w:rFonts w:ascii="Arial" w:hAnsi="Arial" w:cs="Arial"/>
                <w:caps/>
                <w:color w:val="414B56"/>
                <w:sz w:val="16"/>
                <w:szCs w:val="16"/>
              </w:rPr>
              <w:t xml:space="preserve">l’aménagement du territoire </w:t>
            </w:r>
          </w:p>
          <w:p w:rsidR="00911256" w:rsidRPr="00D20C90" w:rsidRDefault="00911256" w:rsidP="00BC2C62">
            <w:pPr>
              <w:rPr>
                <w:rFonts w:ascii="Arial" w:hAnsi="Arial" w:cs="Arial"/>
                <w:caps/>
                <w:color w:val="414B56"/>
                <w:sz w:val="16"/>
                <w:szCs w:val="16"/>
              </w:rPr>
            </w:pPr>
            <w:r w:rsidRPr="00D20C90">
              <w:rPr>
                <w:rFonts w:ascii="Arial" w:hAnsi="Arial" w:cs="Arial"/>
                <w:caps/>
                <w:color w:val="414B56"/>
                <w:sz w:val="16"/>
                <w:szCs w:val="16"/>
              </w:rPr>
              <w:t xml:space="preserve">et de l’urbanisme </w:t>
            </w:r>
          </w:p>
          <w:p w:rsidR="00911256" w:rsidRPr="00D20C90" w:rsidRDefault="00911256" w:rsidP="00BC2C62">
            <w:pPr>
              <w:pStyle w:val="Normale"/>
              <w:rPr>
                <w:rStyle w:val="Normale1"/>
                <w:rFonts w:ascii="Arial" w:hAnsi="Arial" w:cs="Arial"/>
                <w:b/>
                <w:caps/>
                <w:color w:val="auto"/>
                <w:sz w:val="16"/>
                <w:szCs w:val="16"/>
              </w:rPr>
            </w:pPr>
          </w:p>
          <w:p w:rsidR="00911256" w:rsidRPr="008A7EEC" w:rsidRDefault="00911256" w:rsidP="00BC2C62">
            <w:pPr>
              <w:pStyle w:val="Normale"/>
              <w:rPr>
                <w:rStyle w:val="Normale1"/>
                <w:rFonts w:ascii="Arial" w:hAnsi="Arial" w:cs="Arial"/>
                <w:b/>
                <w:caps/>
                <w:color w:val="FFC000"/>
                <w:sz w:val="16"/>
                <w:szCs w:val="16"/>
              </w:rPr>
            </w:pPr>
            <w:r w:rsidRPr="008A7EEC">
              <w:rPr>
                <w:rStyle w:val="Normale1"/>
                <w:rFonts w:ascii="Arial" w:hAnsi="Arial" w:cs="Arial"/>
                <w:b/>
                <w:caps/>
                <w:color w:val="FFC000"/>
                <w:sz w:val="16"/>
                <w:szCs w:val="16"/>
              </w:rPr>
              <w:t xml:space="preserve">Direction de </w:t>
            </w:r>
          </w:p>
          <w:p w:rsidR="00911256" w:rsidRPr="008A7EEC" w:rsidRDefault="00911256" w:rsidP="00BC2C62">
            <w:pPr>
              <w:pStyle w:val="Normale"/>
              <w:rPr>
                <w:rStyle w:val="Normale1"/>
                <w:rFonts w:ascii="Arial" w:hAnsi="Arial" w:cs="Arial"/>
                <w:b/>
                <w:caps/>
                <w:color w:val="FFC000"/>
                <w:sz w:val="16"/>
                <w:szCs w:val="16"/>
              </w:rPr>
            </w:pPr>
            <w:r w:rsidRPr="008A7EEC">
              <w:rPr>
                <w:rStyle w:val="Normale1"/>
                <w:rFonts w:ascii="Arial" w:hAnsi="Arial" w:cs="Arial"/>
                <w:b/>
                <w:caps/>
                <w:color w:val="FFC000"/>
                <w:sz w:val="16"/>
                <w:szCs w:val="16"/>
              </w:rPr>
              <w:t>l’Aménagement Local</w:t>
            </w:r>
          </w:p>
          <w:p w:rsidR="00911256" w:rsidRPr="00D20C90" w:rsidRDefault="00911256" w:rsidP="00BC2C62">
            <w:pPr>
              <w:rPr>
                <w:rFonts w:ascii="Arial" w:hAnsi="Arial" w:cs="Arial"/>
                <w:sz w:val="16"/>
                <w:szCs w:val="16"/>
              </w:rPr>
            </w:pPr>
          </w:p>
          <w:p w:rsidR="00911256" w:rsidRPr="00D20C90" w:rsidRDefault="00911256" w:rsidP="00BC2C62">
            <w:pPr>
              <w:rPr>
                <w:rFonts w:ascii="Arial" w:hAnsi="Arial" w:cs="Arial"/>
                <w:sz w:val="16"/>
                <w:szCs w:val="16"/>
              </w:rPr>
            </w:pPr>
            <w:r w:rsidRPr="00D20C90">
              <w:rPr>
                <w:rFonts w:ascii="Arial" w:hAnsi="Arial" w:cs="Arial"/>
                <w:sz w:val="16"/>
                <w:szCs w:val="16"/>
              </w:rPr>
              <w:t>Rue des Brigades d’Irlande 1</w:t>
            </w:r>
          </w:p>
          <w:p w:rsidR="00911256" w:rsidRPr="00D20C90" w:rsidRDefault="00911256" w:rsidP="00BC2C62">
            <w:pPr>
              <w:rPr>
                <w:rFonts w:ascii="Arial" w:hAnsi="Arial" w:cs="Arial"/>
                <w:sz w:val="16"/>
                <w:szCs w:val="16"/>
              </w:rPr>
            </w:pPr>
            <w:r w:rsidRPr="00D20C90">
              <w:rPr>
                <w:rFonts w:ascii="Arial" w:hAnsi="Arial" w:cs="Arial"/>
                <w:sz w:val="16"/>
                <w:szCs w:val="16"/>
              </w:rPr>
              <w:t>B-5100 Namur</w:t>
            </w:r>
          </w:p>
          <w:p w:rsidR="00911256" w:rsidRPr="00D20C90" w:rsidRDefault="00911256" w:rsidP="00BC2C62">
            <w:pPr>
              <w:rPr>
                <w:rFonts w:ascii="Arial" w:hAnsi="Arial" w:cs="Arial"/>
                <w:sz w:val="16"/>
                <w:szCs w:val="16"/>
              </w:rPr>
            </w:pPr>
            <w:r w:rsidRPr="00D20C90">
              <w:rPr>
                <w:rFonts w:ascii="Arial" w:hAnsi="Arial" w:cs="Arial"/>
                <w:b/>
                <w:sz w:val="16"/>
                <w:szCs w:val="16"/>
              </w:rPr>
              <w:t xml:space="preserve">Tél. : </w:t>
            </w:r>
            <w:r w:rsidRPr="00D20C90">
              <w:rPr>
                <w:rFonts w:ascii="Arial" w:hAnsi="Arial" w:cs="Arial"/>
                <w:sz w:val="16"/>
                <w:szCs w:val="16"/>
              </w:rPr>
              <w:t>081/33.21.11.</w:t>
            </w:r>
          </w:p>
          <w:p w:rsidR="00911256" w:rsidRDefault="00911256" w:rsidP="00BC2C62">
            <w:pPr>
              <w:rPr>
                <w:rFonts w:ascii="Arial" w:hAnsi="Arial" w:cs="Arial"/>
                <w:sz w:val="16"/>
                <w:szCs w:val="16"/>
              </w:rPr>
            </w:pPr>
            <w:r w:rsidRPr="00D20C90">
              <w:rPr>
                <w:rFonts w:ascii="Arial" w:hAnsi="Arial" w:cs="Arial"/>
                <w:b/>
                <w:sz w:val="16"/>
                <w:szCs w:val="16"/>
              </w:rPr>
              <w:t>Fax :</w:t>
            </w:r>
            <w:r w:rsidRPr="00D20C90">
              <w:rPr>
                <w:rFonts w:ascii="Arial" w:hAnsi="Arial" w:cs="Arial"/>
                <w:sz w:val="16"/>
                <w:szCs w:val="16"/>
              </w:rPr>
              <w:t xml:space="preserve"> 081/33.22.85.</w:t>
            </w:r>
          </w:p>
          <w:p w:rsidR="00911256" w:rsidRPr="00D20C90" w:rsidRDefault="00911256" w:rsidP="00792C4B">
            <w:pPr>
              <w:rPr>
                <w:rFonts w:ascii="Arial" w:hAnsi="Arial" w:cs="Arial"/>
              </w:rPr>
            </w:pPr>
          </w:p>
        </w:tc>
        <w:tc>
          <w:tcPr>
            <w:tcW w:w="4536" w:type="dxa"/>
          </w:tcPr>
          <w:p w:rsidR="00911256" w:rsidRPr="00D20C90" w:rsidRDefault="00911256" w:rsidP="00BC2C62">
            <w:pPr>
              <w:ind w:right="-6378"/>
              <w:rPr>
                <w:rFonts w:ascii="Arial" w:hAnsi="Arial" w:cs="Arial"/>
              </w:rPr>
            </w:pPr>
          </w:p>
          <w:p w:rsidR="00911256" w:rsidRPr="00D20C90" w:rsidRDefault="00911256" w:rsidP="00BC2C62">
            <w:pPr>
              <w:ind w:right="-6378"/>
              <w:rPr>
                <w:rFonts w:ascii="Arial" w:hAnsi="Arial" w:cs="Arial"/>
              </w:rPr>
            </w:pPr>
          </w:p>
          <w:p w:rsidR="00911256" w:rsidRPr="0032224C" w:rsidRDefault="00911256" w:rsidP="00BC2C62">
            <w:pPr>
              <w:ind w:right="-6378"/>
              <w:rPr>
                <w:rFonts w:ascii="Century Gothic" w:hAnsi="Century Gothic" w:cs="Arial"/>
              </w:rPr>
            </w:pPr>
          </w:p>
          <w:p w:rsidR="00911256" w:rsidRPr="0028420A" w:rsidRDefault="007B0B22" w:rsidP="00BC2C62">
            <w:pPr>
              <w:rPr>
                <w:rFonts w:ascii="Century Gothic" w:hAnsi="Century Gothic" w:cs="Arial"/>
                <w:b/>
              </w:rPr>
            </w:pPr>
            <w:r w:rsidRPr="0028420A">
              <w:rPr>
                <w:rFonts w:ascii="Century Gothic" w:hAnsi="Century Gothic" w:cs="Arial"/>
                <w:b/>
              </w:rPr>
              <w:t>Au Collège communal</w:t>
            </w:r>
          </w:p>
          <w:p w:rsidR="007B0B22" w:rsidRPr="0028420A" w:rsidRDefault="007B0B22" w:rsidP="00BC2C62">
            <w:pPr>
              <w:rPr>
                <w:rFonts w:ascii="Century Gothic" w:hAnsi="Century Gothic" w:cs="Arial"/>
                <w:b/>
              </w:rPr>
            </w:pPr>
            <w:r w:rsidRPr="0028420A">
              <w:rPr>
                <w:rFonts w:ascii="Century Gothic" w:hAnsi="Century Gothic" w:cs="Arial"/>
                <w:b/>
              </w:rPr>
              <w:t>Administration communale</w:t>
            </w:r>
          </w:p>
          <w:p w:rsidR="007B0B22" w:rsidRPr="0028420A" w:rsidRDefault="007B0B22" w:rsidP="00BC2C62">
            <w:pPr>
              <w:rPr>
                <w:rFonts w:ascii="Century Gothic" w:hAnsi="Century Gothic" w:cs="Arial"/>
                <w:b/>
              </w:rPr>
            </w:pPr>
            <w:r w:rsidRPr="0028420A">
              <w:rPr>
                <w:rFonts w:ascii="Century Gothic" w:hAnsi="Century Gothic" w:cs="Arial"/>
                <w:b/>
              </w:rPr>
              <w:t>De et à</w:t>
            </w:r>
          </w:p>
          <w:p w:rsidR="007B0B22" w:rsidRPr="0028420A" w:rsidRDefault="007B0B22" w:rsidP="00BC2C62">
            <w:pPr>
              <w:rPr>
                <w:rFonts w:ascii="Century Gothic" w:hAnsi="Century Gothic" w:cs="Arial"/>
                <w:b/>
              </w:rPr>
            </w:pPr>
          </w:p>
          <w:p w:rsidR="007B0B22" w:rsidRPr="002F7314" w:rsidRDefault="007B0B22" w:rsidP="00BC2C62">
            <w:pPr>
              <w:rPr>
                <w:rFonts w:ascii="Century Gothic" w:hAnsi="Century Gothic" w:cs="Arial"/>
                <w:b/>
              </w:rPr>
            </w:pPr>
          </w:p>
          <w:p w:rsidR="008722B2" w:rsidRDefault="008722B2" w:rsidP="008722B2">
            <w:pPr>
              <w:ind w:right="-6378"/>
            </w:pPr>
          </w:p>
          <w:p w:rsidR="008722B2" w:rsidRDefault="008722B2" w:rsidP="008722B2">
            <w:pPr>
              <w:rPr>
                <w:rFonts w:ascii="Arial" w:hAnsi="Arial"/>
                <w:b/>
              </w:rPr>
            </w:pPr>
            <w:r>
              <w:rPr>
                <w:rFonts w:ascii="Arial" w:hAnsi="Arial"/>
                <w:b/>
              </w:rPr>
              <w:t xml:space="preserve"> </w:t>
            </w:r>
          </w:p>
          <w:p w:rsidR="00D44EA4" w:rsidRPr="0032224C" w:rsidRDefault="00D44EA4" w:rsidP="00B71F5C">
            <w:pPr>
              <w:rPr>
                <w:rFonts w:ascii="Century Gothic" w:hAnsi="Century Gothic" w:cs="Arial"/>
              </w:rPr>
            </w:pPr>
          </w:p>
          <w:p w:rsidR="00911256" w:rsidRPr="00D20C90" w:rsidRDefault="00911256" w:rsidP="00BC2C62">
            <w:pPr>
              <w:rPr>
                <w:rFonts w:ascii="Arial" w:hAnsi="Arial" w:cs="Arial"/>
              </w:rPr>
            </w:pPr>
          </w:p>
        </w:tc>
      </w:tr>
    </w:tbl>
    <w:p w:rsidR="0028420A" w:rsidRDefault="0028420A" w:rsidP="00911256">
      <w:pPr>
        <w:ind w:right="-6378" w:firstLine="5245"/>
        <w:rPr>
          <w:rFonts w:ascii="Century Gothic" w:hAnsi="Century Gothic" w:cs="Arial"/>
          <w:szCs w:val="22"/>
        </w:rPr>
      </w:pPr>
    </w:p>
    <w:p w:rsidR="00911256" w:rsidRPr="00704359" w:rsidRDefault="00911256" w:rsidP="00911256">
      <w:pPr>
        <w:ind w:right="-6378" w:firstLine="5245"/>
        <w:rPr>
          <w:rFonts w:ascii="Century Gothic" w:hAnsi="Century Gothic" w:cs="Arial"/>
          <w:szCs w:val="22"/>
        </w:rPr>
      </w:pPr>
      <w:r w:rsidRPr="00704359">
        <w:rPr>
          <w:rFonts w:ascii="Century Gothic" w:hAnsi="Century Gothic" w:cs="Arial"/>
          <w:szCs w:val="22"/>
        </w:rPr>
        <w:t>Namur, le</w:t>
      </w:r>
      <w:r w:rsidR="00792C4B">
        <w:rPr>
          <w:rFonts w:ascii="Century Gothic" w:hAnsi="Century Gothic" w:cs="Arial"/>
          <w:szCs w:val="22"/>
        </w:rPr>
        <w:t xml:space="preserve"> </w:t>
      </w:r>
    </w:p>
    <w:p w:rsidR="00911256" w:rsidRPr="0032224C" w:rsidRDefault="00911256" w:rsidP="00911256">
      <w:pPr>
        <w:ind w:right="-6378"/>
        <w:rPr>
          <w:rFonts w:ascii="Century Gothic" w:hAnsi="Century Gothic" w:cs="Arial"/>
          <w:sz w:val="16"/>
          <w:szCs w:val="16"/>
        </w:rPr>
      </w:pPr>
    </w:p>
    <w:p w:rsidR="001F3775" w:rsidRDefault="001F3775" w:rsidP="001F3775"/>
    <w:p w:rsidR="001F3775" w:rsidRDefault="001F3775" w:rsidP="001F3775"/>
    <w:p w:rsidR="007B0B22" w:rsidRDefault="007B0B22" w:rsidP="007B0B22">
      <w:pPr>
        <w:shd w:val="solid" w:color="FFFFFF" w:fill="FFFFFF"/>
        <w:rPr>
          <w:rFonts w:ascii="Century Gothic" w:hAnsi="Century Gothic" w:cs="Arial"/>
          <w:i/>
          <w:sz w:val="16"/>
          <w:szCs w:val="16"/>
        </w:rPr>
      </w:pPr>
      <w:r>
        <w:rPr>
          <w:rFonts w:ascii="Century Gothic" w:hAnsi="Century Gothic" w:cs="Arial"/>
          <w:i/>
          <w:sz w:val="16"/>
          <w:szCs w:val="16"/>
        </w:rPr>
        <w:t>Nos réf. : DGO4/DATU/AF/AR/codt</w:t>
      </w:r>
    </w:p>
    <w:p w:rsidR="007B0B22" w:rsidRDefault="007B0B22" w:rsidP="007B0B22">
      <w:pPr>
        <w:tabs>
          <w:tab w:val="left" w:pos="1560"/>
        </w:tabs>
        <w:ind w:firstLine="1276"/>
        <w:rPr>
          <w:rFonts w:ascii="Arial" w:hAnsi="Arial"/>
          <w:b/>
          <w:sz w:val="16"/>
        </w:rPr>
      </w:pPr>
    </w:p>
    <w:p w:rsidR="007B0B22" w:rsidRPr="00400CD7" w:rsidRDefault="007B0B22" w:rsidP="007B0B22">
      <w:pPr>
        <w:ind w:right="-6378"/>
        <w:rPr>
          <w:b/>
        </w:rPr>
      </w:pPr>
    </w:p>
    <w:p w:rsidR="007B0B22" w:rsidRPr="007B0B22" w:rsidRDefault="007B0B22" w:rsidP="007B0B22">
      <w:pPr>
        <w:rPr>
          <w:rFonts w:ascii="Century Gothic" w:hAnsi="Century Gothic"/>
          <w:b/>
        </w:rPr>
      </w:pPr>
      <w:r w:rsidRPr="00400CD7">
        <w:rPr>
          <w:rFonts w:ascii="Arial" w:hAnsi="Arial"/>
          <w:b/>
        </w:rPr>
        <w:t>Objet :</w:t>
      </w:r>
      <w:r w:rsidRPr="00400CD7">
        <w:rPr>
          <w:rFonts w:ascii="Arial" w:hAnsi="Arial"/>
          <w:b/>
        </w:rPr>
        <w:tab/>
      </w:r>
      <w:r w:rsidRPr="007B0B22">
        <w:rPr>
          <w:rFonts w:ascii="Century Gothic" w:hAnsi="Century Gothic"/>
          <w:b/>
        </w:rPr>
        <w:t>Entrée en vigueur du CoDT. Mesures à prendre</w:t>
      </w:r>
    </w:p>
    <w:p w:rsidR="007B0B22" w:rsidRPr="00400CD7" w:rsidRDefault="007B0B22" w:rsidP="007B0B22">
      <w:pPr>
        <w:tabs>
          <w:tab w:val="left" w:pos="851"/>
        </w:tabs>
        <w:rPr>
          <w:rFonts w:ascii="Arial" w:hAnsi="Arial"/>
          <w:b/>
        </w:rPr>
      </w:pPr>
    </w:p>
    <w:p w:rsidR="007B0B22" w:rsidRPr="00400CD7" w:rsidRDefault="007B0B22" w:rsidP="007B0B22">
      <w:pPr>
        <w:pBdr>
          <w:bottom w:val="single" w:sz="4" w:space="1" w:color="auto"/>
        </w:pBdr>
        <w:rPr>
          <w:rFonts w:ascii="Arial" w:hAnsi="Arial"/>
          <w:b/>
        </w:rPr>
      </w:pPr>
    </w:p>
    <w:p w:rsidR="007B0B22" w:rsidRPr="00280C69" w:rsidRDefault="007B0B22" w:rsidP="007B0B22">
      <w:pPr>
        <w:rPr>
          <w:rFonts w:ascii="Arial" w:hAnsi="Arial"/>
        </w:rPr>
      </w:pPr>
    </w:p>
    <w:p w:rsidR="001F3775" w:rsidRPr="007B0B22" w:rsidRDefault="001F3775" w:rsidP="001F3775">
      <w:pPr>
        <w:rPr>
          <w:rFonts w:ascii="Century Gothic" w:hAnsi="Century Gothic"/>
        </w:rPr>
      </w:pPr>
    </w:p>
    <w:p w:rsidR="001F3775" w:rsidRPr="007B0B22" w:rsidRDefault="001F3775" w:rsidP="001F3775">
      <w:pPr>
        <w:rPr>
          <w:rFonts w:ascii="Century Gothic" w:hAnsi="Century Gothic"/>
        </w:rPr>
      </w:pPr>
      <w:r w:rsidRPr="007B0B22">
        <w:rPr>
          <w:rFonts w:ascii="Century Gothic" w:hAnsi="Century Gothic"/>
        </w:rPr>
        <w:t>Mesdames et Messieurs les Bourgmestres et Conseillers communaux,</w:t>
      </w:r>
    </w:p>
    <w:p w:rsidR="001F3775" w:rsidRPr="007B0B22" w:rsidRDefault="001F3775" w:rsidP="001F3775">
      <w:pPr>
        <w:rPr>
          <w:rFonts w:ascii="Century Gothic" w:hAnsi="Century Gothic"/>
        </w:rPr>
      </w:pPr>
    </w:p>
    <w:p w:rsidR="001F3775" w:rsidRPr="007B0B22" w:rsidRDefault="001F3775" w:rsidP="001F3775">
      <w:pPr>
        <w:jc w:val="both"/>
        <w:rPr>
          <w:rFonts w:ascii="Century Gothic" w:hAnsi="Century Gothic"/>
        </w:rPr>
      </w:pPr>
    </w:p>
    <w:p w:rsidR="001F3775" w:rsidRDefault="001F3775" w:rsidP="007B0B22">
      <w:pPr>
        <w:ind w:firstLine="708"/>
        <w:jc w:val="both"/>
        <w:rPr>
          <w:rFonts w:ascii="Century Gothic" w:hAnsi="Century Gothic"/>
        </w:rPr>
      </w:pPr>
      <w:r w:rsidRPr="007B0B22">
        <w:rPr>
          <w:rFonts w:ascii="Century Gothic" w:hAnsi="Century Gothic"/>
        </w:rPr>
        <w:t>Avant l’entrée en vigueur du CoDT, je souhaite attirer votre attention sur trois articles particuliers de ce code</w:t>
      </w:r>
      <w:r w:rsidR="007B0B22">
        <w:rPr>
          <w:rFonts w:ascii="Century Gothic" w:hAnsi="Century Gothic"/>
        </w:rPr>
        <w:t>.</w:t>
      </w:r>
    </w:p>
    <w:p w:rsidR="007B0B22" w:rsidRPr="007B0B22" w:rsidRDefault="007B0B22" w:rsidP="007B0B22">
      <w:pPr>
        <w:ind w:firstLine="708"/>
        <w:jc w:val="both"/>
        <w:rPr>
          <w:rFonts w:ascii="Century Gothic" w:hAnsi="Century Gothic"/>
        </w:rPr>
      </w:pPr>
    </w:p>
    <w:p w:rsidR="001F3775" w:rsidRDefault="001F3775" w:rsidP="007B0B22">
      <w:pPr>
        <w:ind w:firstLine="708"/>
        <w:jc w:val="both"/>
        <w:rPr>
          <w:rFonts w:ascii="Century Gothic" w:hAnsi="Century Gothic"/>
        </w:rPr>
      </w:pPr>
      <w:r w:rsidRPr="007B0B22">
        <w:rPr>
          <w:rFonts w:ascii="Century Gothic" w:hAnsi="Century Gothic"/>
        </w:rPr>
        <w:t xml:space="preserve">L’article </w:t>
      </w:r>
      <w:r w:rsidRPr="007B0B22">
        <w:rPr>
          <w:rFonts w:ascii="Century Gothic" w:hAnsi="Century Gothic"/>
          <w:b/>
        </w:rPr>
        <w:t>D.VII.3, alinéa 1</w:t>
      </w:r>
      <w:r w:rsidRPr="007B0B22">
        <w:rPr>
          <w:rFonts w:ascii="Century Gothic" w:hAnsi="Century Gothic"/>
          <w:b/>
          <w:vertAlign w:val="superscript"/>
        </w:rPr>
        <w:t>er</w:t>
      </w:r>
      <w:r w:rsidRPr="007B0B22">
        <w:rPr>
          <w:rFonts w:ascii="Century Gothic" w:hAnsi="Century Gothic"/>
          <w:b/>
        </w:rPr>
        <w:t>, 2</w:t>
      </w:r>
      <w:r w:rsidRPr="007B0B22">
        <w:rPr>
          <w:rFonts w:ascii="Century Gothic" w:hAnsi="Century Gothic"/>
        </w:rPr>
        <w:t>° prévoit qu’ont la qualité d’</w:t>
      </w:r>
      <w:r w:rsidRPr="007B0B22">
        <w:rPr>
          <w:rFonts w:ascii="Century Gothic" w:hAnsi="Century Gothic"/>
          <w:b/>
        </w:rPr>
        <w:t xml:space="preserve">agent constatateur </w:t>
      </w:r>
      <w:r w:rsidRPr="007B0B22">
        <w:rPr>
          <w:rFonts w:ascii="Century Gothic" w:hAnsi="Century Gothic"/>
        </w:rPr>
        <w:t>pour rechercher et constater les infractions,  les fonctionnaires et agents techniques désignés par le conseil communal. Ce n’est donc plus le Gouverneur qui désigne ces agents constatateurs, comme le prévoyait l’article 451 du CWATUP.  Je vous suggère donc de désigner ces agents le plus tôt possible après l’entrée en vigueur du CoDT.</w:t>
      </w:r>
    </w:p>
    <w:p w:rsidR="007B0B22" w:rsidRPr="007B0B22" w:rsidRDefault="007B0B22" w:rsidP="001F3775">
      <w:pPr>
        <w:jc w:val="both"/>
        <w:rPr>
          <w:rFonts w:ascii="Century Gothic" w:hAnsi="Century Gothic"/>
        </w:rPr>
      </w:pPr>
    </w:p>
    <w:p w:rsidR="001F3775" w:rsidRDefault="001F3775" w:rsidP="007B0B22">
      <w:pPr>
        <w:ind w:firstLine="708"/>
        <w:jc w:val="both"/>
        <w:rPr>
          <w:rFonts w:ascii="Century Gothic" w:hAnsi="Century Gothic"/>
        </w:rPr>
      </w:pPr>
      <w:r w:rsidRPr="007B0B22">
        <w:rPr>
          <w:rFonts w:ascii="Century Gothic" w:hAnsi="Century Gothic"/>
        </w:rPr>
        <w:t xml:space="preserve">L’article </w:t>
      </w:r>
      <w:r w:rsidRPr="007B0B22">
        <w:rPr>
          <w:rFonts w:ascii="Century Gothic" w:hAnsi="Century Gothic"/>
          <w:b/>
        </w:rPr>
        <w:t>D.III.15</w:t>
      </w:r>
      <w:r w:rsidRPr="007B0B22">
        <w:rPr>
          <w:rFonts w:ascii="Century Gothic" w:hAnsi="Century Gothic"/>
        </w:rPr>
        <w:t xml:space="preserve">  vise les </w:t>
      </w:r>
      <w:r w:rsidRPr="007B0B22">
        <w:rPr>
          <w:rFonts w:ascii="Century Gothic" w:hAnsi="Century Gothic"/>
          <w:b/>
        </w:rPr>
        <w:t>règlements de bâtisse approuvés avant le 22 avril 1962</w:t>
      </w:r>
      <w:r w:rsidRPr="007B0B22">
        <w:rPr>
          <w:rFonts w:ascii="Century Gothic" w:hAnsi="Century Gothic"/>
        </w:rPr>
        <w:t>, qu’ils aient été révisés par la suite ou non. Ces règlements seront abrogés automatiquement, par l’effet du décret, le 1</w:t>
      </w:r>
      <w:r w:rsidRPr="007B0B22">
        <w:rPr>
          <w:rFonts w:ascii="Century Gothic" w:hAnsi="Century Gothic"/>
          <w:vertAlign w:val="superscript"/>
        </w:rPr>
        <w:t>er</w:t>
      </w:r>
      <w:r w:rsidRPr="007B0B22">
        <w:rPr>
          <w:rFonts w:ascii="Century Gothic" w:hAnsi="Century Gothic"/>
        </w:rPr>
        <w:t xml:space="preserve"> juin 2018, </w:t>
      </w:r>
      <w:r w:rsidRPr="007B0B22">
        <w:rPr>
          <w:rFonts w:ascii="Century Gothic" w:hAnsi="Century Gothic"/>
          <w:b/>
        </w:rPr>
        <w:t>excepté</w:t>
      </w:r>
      <w:r w:rsidRPr="007B0B22">
        <w:rPr>
          <w:rFonts w:ascii="Century Gothic" w:hAnsi="Century Gothic"/>
        </w:rPr>
        <w:t xml:space="preserve"> si le conseil communal décide de les maintenir. Votre conseil dispose donc de 12 mois pour, le cas échéant, prendre une décision de maintien, décision que je vous remercie de me communiquer.</w:t>
      </w:r>
    </w:p>
    <w:p w:rsidR="007B0B22" w:rsidRPr="007B0B22" w:rsidRDefault="007B0B22" w:rsidP="001F3775">
      <w:pPr>
        <w:jc w:val="both"/>
        <w:rPr>
          <w:rFonts w:ascii="Century Gothic" w:hAnsi="Century Gothic"/>
        </w:rPr>
      </w:pPr>
    </w:p>
    <w:p w:rsidR="007B0B22" w:rsidRDefault="001F3775" w:rsidP="007B0B22">
      <w:pPr>
        <w:ind w:firstLine="708"/>
        <w:jc w:val="both"/>
        <w:rPr>
          <w:rFonts w:ascii="Century Gothic" w:hAnsi="Century Gothic"/>
        </w:rPr>
      </w:pPr>
      <w:r w:rsidRPr="007B0B22">
        <w:rPr>
          <w:rFonts w:ascii="Century Gothic" w:hAnsi="Century Gothic"/>
        </w:rPr>
        <w:t xml:space="preserve">Enfin, pour les communes qui ont fait le choix de </w:t>
      </w:r>
      <w:r w:rsidRPr="007B0B22">
        <w:rPr>
          <w:rFonts w:ascii="Century Gothic" w:hAnsi="Century Gothic"/>
          <w:b/>
        </w:rPr>
        <w:t>soumettre à permis des actes et travaux non visés par l’article 84, §1</w:t>
      </w:r>
      <w:r w:rsidRPr="007B0B22">
        <w:rPr>
          <w:rFonts w:ascii="Century Gothic" w:hAnsi="Century Gothic"/>
          <w:b/>
          <w:vertAlign w:val="superscript"/>
        </w:rPr>
        <w:t>er</w:t>
      </w:r>
      <w:r w:rsidRPr="007B0B22">
        <w:rPr>
          <w:rFonts w:ascii="Century Gothic" w:hAnsi="Century Gothic"/>
          <w:b/>
        </w:rPr>
        <w:t xml:space="preserve"> du CWATUP</w:t>
      </w:r>
      <w:r w:rsidRPr="007B0B22">
        <w:rPr>
          <w:rFonts w:ascii="Century Gothic" w:hAnsi="Century Gothic"/>
        </w:rPr>
        <w:t xml:space="preserve">  par le biais de  leur règlement communal d’urbanisme (article 84, §2, alinéa 1</w:t>
      </w:r>
      <w:r w:rsidRPr="007B0B22">
        <w:rPr>
          <w:rFonts w:ascii="Century Gothic" w:hAnsi="Century Gothic"/>
          <w:vertAlign w:val="superscript"/>
        </w:rPr>
        <w:t>er</w:t>
      </w:r>
      <w:r w:rsidRPr="007B0B22">
        <w:rPr>
          <w:rFonts w:ascii="Century Gothic" w:hAnsi="Century Gothic"/>
        </w:rPr>
        <w:t xml:space="preserve">), l’article </w:t>
      </w:r>
      <w:r w:rsidRPr="007B0B22">
        <w:rPr>
          <w:rFonts w:ascii="Century Gothic" w:hAnsi="Century Gothic"/>
          <w:b/>
        </w:rPr>
        <w:t>D.III.16</w:t>
      </w:r>
      <w:r w:rsidRPr="007B0B22">
        <w:rPr>
          <w:rFonts w:ascii="Century Gothic" w:hAnsi="Century Gothic"/>
        </w:rPr>
        <w:t xml:space="preserve"> dispose que cette soumission à permis sera abrogée automatiquement, par l’effet du décret, le 1</w:t>
      </w:r>
      <w:r w:rsidRPr="007B0B22">
        <w:rPr>
          <w:rFonts w:ascii="Century Gothic" w:hAnsi="Century Gothic"/>
          <w:vertAlign w:val="superscript"/>
        </w:rPr>
        <w:t>er</w:t>
      </w:r>
      <w:r w:rsidRPr="007B0B22">
        <w:rPr>
          <w:rFonts w:ascii="Century Gothic" w:hAnsi="Century Gothic"/>
        </w:rPr>
        <w:t xml:space="preserve"> juin 2018, </w:t>
      </w:r>
      <w:r w:rsidRPr="007B0B22">
        <w:rPr>
          <w:rFonts w:ascii="Century Gothic" w:hAnsi="Century Gothic"/>
          <w:b/>
        </w:rPr>
        <w:t>excepté</w:t>
      </w:r>
      <w:r w:rsidRPr="007B0B22">
        <w:rPr>
          <w:rFonts w:ascii="Century Gothic" w:hAnsi="Century Gothic"/>
        </w:rPr>
        <w:t xml:space="preserve"> si le conseil communal décide de confirmer cette obligation de soumission à permis. </w:t>
      </w:r>
    </w:p>
    <w:p w:rsidR="001D1B52" w:rsidRDefault="001D1B52" w:rsidP="007B0B22">
      <w:pPr>
        <w:ind w:firstLine="708"/>
        <w:jc w:val="both"/>
        <w:rPr>
          <w:rFonts w:ascii="Century Gothic" w:hAnsi="Century Gothic"/>
        </w:rPr>
      </w:pPr>
    </w:p>
    <w:p w:rsidR="001F3775" w:rsidRDefault="001F3775" w:rsidP="001D1B52">
      <w:pPr>
        <w:ind w:firstLine="708"/>
        <w:jc w:val="both"/>
        <w:rPr>
          <w:rFonts w:ascii="Century Gothic" w:hAnsi="Century Gothic"/>
        </w:rPr>
      </w:pPr>
      <w:r w:rsidRPr="007B0B22">
        <w:rPr>
          <w:rFonts w:ascii="Century Gothic" w:hAnsi="Century Gothic"/>
        </w:rPr>
        <w:lastRenderedPageBreak/>
        <w:t xml:space="preserve">Votre conseil dispose donc de 12 mois pour </w:t>
      </w:r>
      <w:r w:rsidRPr="007B0B22">
        <w:rPr>
          <w:rFonts w:ascii="Century Gothic" w:hAnsi="Century Gothic"/>
          <w:b/>
        </w:rPr>
        <w:t>vérifier si ces actes et travaux visés dans le règlement sont ou non  repris à l’article D.IV.4 du CoDT</w:t>
      </w:r>
      <w:r w:rsidRPr="007B0B22">
        <w:rPr>
          <w:rFonts w:ascii="Century Gothic" w:hAnsi="Century Gothic"/>
        </w:rPr>
        <w:t xml:space="preserve"> et,  s’ils ne sont pas repris, éventuellement prendre une décision de confirmation, décision que je vous remercie également de me communiquer.</w:t>
      </w:r>
    </w:p>
    <w:p w:rsidR="0028420A" w:rsidRPr="007B0B22" w:rsidRDefault="0028420A" w:rsidP="007B0B22">
      <w:pPr>
        <w:jc w:val="both"/>
        <w:rPr>
          <w:rFonts w:ascii="Century Gothic" w:hAnsi="Century Gothic"/>
          <w:b/>
        </w:rPr>
      </w:pPr>
    </w:p>
    <w:p w:rsidR="001F3775" w:rsidRPr="007B0B22" w:rsidRDefault="001F3775" w:rsidP="0028420A">
      <w:pPr>
        <w:ind w:firstLine="708"/>
        <w:jc w:val="both"/>
        <w:rPr>
          <w:rFonts w:ascii="Century Gothic" w:hAnsi="Century Gothic"/>
        </w:rPr>
      </w:pPr>
      <w:r w:rsidRPr="007B0B22">
        <w:rPr>
          <w:rFonts w:ascii="Century Gothic" w:hAnsi="Century Gothic"/>
        </w:rPr>
        <w:t>Je vous remercie de l’attention que vous réserverez à la présente et vous prie d’agréer, Mesdames et Messieurs les Bourgmestre et Conseillers communaux, l’assurance de ma parfaite considération.</w:t>
      </w:r>
    </w:p>
    <w:p w:rsidR="001F3775" w:rsidRDefault="001F3775" w:rsidP="001F3775">
      <w:pPr>
        <w:jc w:val="both"/>
        <w:rPr>
          <w:rFonts w:ascii="Century Gothic" w:hAnsi="Century Gothic"/>
        </w:rPr>
      </w:pPr>
    </w:p>
    <w:p w:rsidR="002F7314" w:rsidRDefault="002F7314" w:rsidP="001F3775">
      <w:pPr>
        <w:jc w:val="both"/>
        <w:rPr>
          <w:rFonts w:ascii="Century Gothic" w:hAnsi="Century Gothic"/>
        </w:rPr>
      </w:pPr>
    </w:p>
    <w:p w:rsidR="002F7314" w:rsidRPr="007B0B22" w:rsidRDefault="002F7314" w:rsidP="001F3775">
      <w:pPr>
        <w:jc w:val="both"/>
        <w:rPr>
          <w:rFonts w:ascii="Century Gothic" w:hAnsi="Century Gothic"/>
        </w:rPr>
      </w:pPr>
    </w:p>
    <w:p w:rsidR="001F3775" w:rsidRPr="007B0B22" w:rsidRDefault="001F3775" w:rsidP="001F3775">
      <w:pPr>
        <w:jc w:val="both"/>
        <w:rPr>
          <w:rFonts w:ascii="Century Gothic" w:hAnsi="Century Gothic"/>
        </w:rPr>
      </w:pPr>
    </w:p>
    <w:p w:rsidR="00450472" w:rsidRPr="007B0B22" w:rsidRDefault="007B0B22" w:rsidP="007B0B22">
      <w:pPr>
        <w:ind w:left="4820" w:right="-6378"/>
        <w:rPr>
          <w:rFonts w:ascii="Century Gothic" w:hAnsi="Century Gothic" w:cs="Arial"/>
          <w:b/>
          <w:szCs w:val="22"/>
        </w:rPr>
      </w:pPr>
      <w:r w:rsidRPr="007B0B22">
        <w:rPr>
          <w:rFonts w:ascii="Century Gothic" w:hAnsi="Century Gothic" w:cs="Arial"/>
          <w:b/>
          <w:szCs w:val="22"/>
        </w:rPr>
        <w:t>La Directrice générale,</w:t>
      </w:r>
    </w:p>
    <w:p w:rsidR="007B0B22" w:rsidRDefault="007B0B22" w:rsidP="007B0B22">
      <w:pPr>
        <w:ind w:left="4820" w:right="-6378"/>
        <w:rPr>
          <w:rFonts w:ascii="Century Gothic" w:hAnsi="Century Gothic" w:cs="Arial"/>
          <w:b/>
          <w:szCs w:val="22"/>
        </w:rPr>
      </w:pPr>
    </w:p>
    <w:p w:rsidR="007B0B22" w:rsidRDefault="007B0B22" w:rsidP="007B0B22">
      <w:pPr>
        <w:ind w:left="4820" w:right="-6378"/>
        <w:rPr>
          <w:rFonts w:ascii="Century Gothic" w:hAnsi="Century Gothic" w:cs="Arial"/>
          <w:b/>
          <w:szCs w:val="22"/>
        </w:rPr>
      </w:pPr>
    </w:p>
    <w:p w:rsidR="007B0B22" w:rsidRPr="007B0B22" w:rsidRDefault="007B0B22" w:rsidP="007B0B22">
      <w:pPr>
        <w:ind w:left="4820" w:right="-6378"/>
        <w:rPr>
          <w:rFonts w:ascii="Century Gothic" w:hAnsi="Century Gothic" w:cs="Arial"/>
          <w:b/>
          <w:szCs w:val="22"/>
        </w:rPr>
      </w:pPr>
    </w:p>
    <w:p w:rsidR="007B0B22" w:rsidRPr="007B0B22" w:rsidRDefault="007B0B22" w:rsidP="007B0B22">
      <w:pPr>
        <w:ind w:left="4820" w:right="-6378"/>
        <w:rPr>
          <w:rFonts w:ascii="Century Gothic" w:hAnsi="Century Gothic" w:cs="Arial"/>
          <w:b/>
          <w:szCs w:val="22"/>
        </w:rPr>
      </w:pPr>
    </w:p>
    <w:p w:rsidR="007B0B22" w:rsidRPr="007B0B22" w:rsidRDefault="007B0B22" w:rsidP="007B0B22">
      <w:pPr>
        <w:ind w:left="4820" w:right="-6378"/>
        <w:rPr>
          <w:rFonts w:ascii="Century Gothic" w:hAnsi="Century Gothic" w:cs="Arial"/>
          <w:b/>
          <w:szCs w:val="22"/>
        </w:rPr>
      </w:pPr>
      <w:r w:rsidRPr="007B0B22">
        <w:rPr>
          <w:rFonts w:ascii="Century Gothic" w:hAnsi="Century Gothic" w:cs="Arial"/>
          <w:b/>
          <w:szCs w:val="22"/>
        </w:rPr>
        <w:t>Ir. Annick FOURMEAUX</w:t>
      </w:r>
    </w:p>
    <w:sectPr w:rsidR="007B0B22" w:rsidRPr="007B0B22" w:rsidSect="00574038">
      <w:footerReference w:type="default" r:id="rId8"/>
      <w:pgSz w:w="11906" w:h="16838"/>
      <w:pgMar w:top="1134" w:right="1418" w:bottom="1418" w:left="1418"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DE8" w:rsidRDefault="000E6DE8" w:rsidP="00067770">
      <w:r>
        <w:separator/>
      </w:r>
    </w:p>
  </w:endnote>
  <w:endnote w:type="continuationSeparator" w:id="0">
    <w:p w:rsidR="000E6DE8" w:rsidRDefault="000E6DE8" w:rsidP="000677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0"/>
      <w:gridCol w:w="3070"/>
    </w:tblGrid>
    <w:tr w:rsidR="000E6DE8" w:rsidTr="00450472">
      <w:tc>
        <w:tcPr>
          <w:tcW w:w="3070" w:type="dxa"/>
        </w:tcPr>
        <w:p w:rsidR="000E6DE8" w:rsidRPr="00574038" w:rsidRDefault="000E6DE8" w:rsidP="00574038">
          <w:pPr>
            <w:pStyle w:val="Pieddepage"/>
            <w:jc w:val="center"/>
            <w:rPr>
              <w:rFonts w:ascii="Century Gothic" w:hAnsi="Century Gothic"/>
              <w:color w:val="808080" w:themeColor="background1" w:themeShade="80"/>
              <w:sz w:val="16"/>
              <w:szCs w:val="16"/>
            </w:rPr>
          </w:pPr>
        </w:p>
      </w:tc>
      <w:tc>
        <w:tcPr>
          <w:tcW w:w="3070" w:type="dxa"/>
        </w:tcPr>
        <w:p w:rsidR="000E6DE8" w:rsidRPr="00574038" w:rsidRDefault="000E6DE8" w:rsidP="00067770">
          <w:pPr>
            <w:pStyle w:val="Pieddepage"/>
            <w:jc w:val="center"/>
            <w:rPr>
              <w:rFonts w:ascii="Century Gothic" w:hAnsi="Century Gothic"/>
              <w:color w:val="808080" w:themeColor="background1" w:themeShade="80"/>
              <w:sz w:val="16"/>
              <w:szCs w:val="16"/>
            </w:rPr>
          </w:pPr>
        </w:p>
      </w:tc>
      <w:tc>
        <w:tcPr>
          <w:tcW w:w="3070" w:type="dxa"/>
        </w:tcPr>
        <w:p w:rsidR="000E6DE8" w:rsidRPr="00574038" w:rsidRDefault="000E6DE8" w:rsidP="00885EC9">
          <w:pPr>
            <w:pStyle w:val="Pieddepage"/>
            <w:jc w:val="center"/>
            <w:rPr>
              <w:rFonts w:ascii="Century Gothic" w:hAnsi="Century Gothic"/>
              <w:color w:val="808080" w:themeColor="background1" w:themeShade="80"/>
              <w:sz w:val="16"/>
              <w:szCs w:val="16"/>
            </w:rPr>
          </w:pPr>
        </w:p>
      </w:tc>
    </w:tr>
  </w:tbl>
  <w:p w:rsidR="000E6DE8" w:rsidRPr="00067770" w:rsidRDefault="000E6DE8" w:rsidP="00067770">
    <w:pPr>
      <w:pStyle w:val="Pieddepage"/>
      <w:rPr>
        <w:color w:val="808080" w:themeColor="background1" w:themeShade="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DE8" w:rsidRDefault="000E6DE8" w:rsidP="00067770">
      <w:r>
        <w:separator/>
      </w:r>
    </w:p>
  </w:footnote>
  <w:footnote w:type="continuationSeparator" w:id="0">
    <w:p w:rsidR="000E6DE8" w:rsidRDefault="000E6DE8" w:rsidP="000677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7E32"/>
    <w:multiLevelType w:val="multilevel"/>
    <w:tmpl w:val="1A70A0EA"/>
    <w:lvl w:ilvl="0">
      <w:start w:val="1"/>
      <w:numFmt w:val="bullet"/>
      <w:lvlText w:val=""/>
      <w:lvlJc w:val="left"/>
      <w:pPr>
        <w:tabs>
          <w:tab w:val="num" w:pos="1428"/>
        </w:tabs>
        <w:ind w:left="1428" w:hanging="360"/>
      </w:pPr>
      <w:rPr>
        <w:rFonts w:ascii="Symbol" w:hAnsi="Symbol" w:hint="default"/>
        <w:sz w:val="20"/>
      </w:rPr>
    </w:lvl>
    <w:lvl w:ilvl="1">
      <w:start w:val="1"/>
      <w:numFmt w:val="decimal"/>
      <w:lvlText w:val="%2."/>
      <w:lvlJc w:val="left"/>
      <w:pPr>
        <w:tabs>
          <w:tab w:val="num" w:pos="2148"/>
        </w:tabs>
        <w:ind w:left="2148" w:hanging="360"/>
      </w:pPr>
    </w:lvl>
    <w:lvl w:ilvl="2">
      <w:start w:val="1"/>
      <w:numFmt w:val="decimal"/>
      <w:lvlText w:val="%3."/>
      <w:lvlJc w:val="left"/>
      <w:pPr>
        <w:tabs>
          <w:tab w:val="num" w:pos="2868"/>
        </w:tabs>
        <w:ind w:left="2868" w:hanging="360"/>
      </w:pPr>
    </w:lvl>
    <w:lvl w:ilvl="3">
      <w:start w:val="1"/>
      <w:numFmt w:val="decimal"/>
      <w:lvlText w:val="%4."/>
      <w:lvlJc w:val="left"/>
      <w:pPr>
        <w:tabs>
          <w:tab w:val="num" w:pos="3588"/>
        </w:tabs>
        <w:ind w:left="3588" w:hanging="360"/>
      </w:pPr>
    </w:lvl>
    <w:lvl w:ilvl="4">
      <w:start w:val="1"/>
      <w:numFmt w:val="decimal"/>
      <w:lvlText w:val="%5."/>
      <w:lvlJc w:val="left"/>
      <w:pPr>
        <w:tabs>
          <w:tab w:val="num" w:pos="4308"/>
        </w:tabs>
        <w:ind w:left="4308" w:hanging="360"/>
      </w:pPr>
    </w:lvl>
    <w:lvl w:ilvl="5">
      <w:start w:val="1"/>
      <w:numFmt w:val="decimal"/>
      <w:lvlText w:val="%6."/>
      <w:lvlJc w:val="left"/>
      <w:pPr>
        <w:tabs>
          <w:tab w:val="num" w:pos="5028"/>
        </w:tabs>
        <w:ind w:left="5028" w:hanging="360"/>
      </w:pPr>
    </w:lvl>
    <w:lvl w:ilvl="6">
      <w:start w:val="1"/>
      <w:numFmt w:val="decimal"/>
      <w:lvlText w:val="%7."/>
      <w:lvlJc w:val="left"/>
      <w:pPr>
        <w:tabs>
          <w:tab w:val="num" w:pos="5748"/>
        </w:tabs>
        <w:ind w:left="5748" w:hanging="360"/>
      </w:pPr>
    </w:lvl>
    <w:lvl w:ilvl="7">
      <w:start w:val="1"/>
      <w:numFmt w:val="decimal"/>
      <w:lvlText w:val="%8."/>
      <w:lvlJc w:val="left"/>
      <w:pPr>
        <w:tabs>
          <w:tab w:val="num" w:pos="6468"/>
        </w:tabs>
        <w:ind w:left="6468" w:hanging="360"/>
      </w:pPr>
    </w:lvl>
    <w:lvl w:ilvl="8">
      <w:start w:val="1"/>
      <w:numFmt w:val="decimal"/>
      <w:lvlText w:val="%9."/>
      <w:lvlJc w:val="left"/>
      <w:pPr>
        <w:tabs>
          <w:tab w:val="num" w:pos="7188"/>
        </w:tabs>
        <w:ind w:left="7188" w:hanging="360"/>
      </w:pPr>
    </w:lvl>
  </w:abstractNum>
  <w:abstractNum w:abstractNumId="1">
    <w:nsid w:val="07600F67"/>
    <w:multiLevelType w:val="hybridMultilevel"/>
    <w:tmpl w:val="12580898"/>
    <w:lvl w:ilvl="0" w:tplc="4CDADE98">
      <w:start w:val="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74354FE"/>
    <w:multiLevelType w:val="singleLevel"/>
    <w:tmpl w:val="9CD0443E"/>
    <w:lvl w:ilvl="0">
      <w:start w:val="1"/>
      <w:numFmt w:val="bullet"/>
      <w:lvlText w:val="-"/>
      <w:lvlJc w:val="left"/>
      <w:pPr>
        <w:tabs>
          <w:tab w:val="num" w:pos="360"/>
        </w:tabs>
        <w:ind w:left="360" w:hanging="360"/>
      </w:pPr>
      <w:rPr>
        <w:rFonts w:hint="default"/>
      </w:rPr>
    </w:lvl>
  </w:abstractNum>
  <w:abstractNum w:abstractNumId="3">
    <w:nsid w:val="4142316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nsid w:val="52781C4C"/>
    <w:multiLevelType w:val="singleLevel"/>
    <w:tmpl w:val="040C000F"/>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3"/>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mailMerge>
    <w:mainDocumentType w:val="formLetters"/>
    <w:linkToQuery/>
    <w:dataType w:val="textFile"/>
    <w:connectString w:val=""/>
    <w:query w:val="SELECT * FROM E33DD61E.doc"/>
    <w:activeRecord w:val="262"/>
  </w:mailMerge>
  <w:defaultTabStop w:val="708"/>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D44EA4"/>
    <w:rsid w:val="00004B1A"/>
    <w:rsid w:val="000071D3"/>
    <w:rsid w:val="0002732E"/>
    <w:rsid w:val="00037DAA"/>
    <w:rsid w:val="00067770"/>
    <w:rsid w:val="000A426D"/>
    <w:rsid w:val="000E15BA"/>
    <w:rsid w:val="000E6DE8"/>
    <w:rsid w:val="001A6631"/>
    <w:rsid w:val="001C6A8F"/>
    <w:rsid w:val="001D1B52"/>
    <w:rsid w:val="001E395C"/>
    <w:rsid w:val="001F3775"/>
    <w:rsid w:val="001F5255"/>
    <w:rsid w:val="00216F43"/>
    <w:rsid w:val="002700CE"/>
    <w:rsid w:val="00273306"/>
    <w:rsid w:val="0028420A"/>
    <w:rsid w:val="002A5022"/>
    <w:rsid w:val="002C4423"/>
    <w:rsid w:val="002F7314"/>
    <w:rsid w:val="0032224C"/>
    <w:rsid w:val="003E3F7D"/>
    <w:rsid w:val="00402497"/>
    <w:rsid w:val="00450472"/>
    <w:rsid w:val="00465C95"/>
    <w:rsid w:val="00484F05"/>
    <w:rsid w:val="00491244"/>
    <w:rsid w:val="004E3900"/>
    <w:rsid w:val="005023FD"/>
    <w:rsid w:val="005031A3"/>
    <w:rsid w:val="00574038"/>
    <w:rsid w:val="005962A9"/>
    <w:rsid w:val="005C3362"/>
    <w:rsid w:val="005F156E"/>
    <w:rsid w:val="00604B8C"/>
    <w:rsid w:val="00611300"/>
    <w:rsid w:val="00656EE6"/>
    <w:rsid w:val="006B2901"/>
    <w:rsid w:val="006D3C0F"/>
    <w:rsid w:val="006D4641"/>
    <w:rsid w:val="00704359"/>
    <w:rsid w:val="007120AD"/>
    <w:rsid w:val="00734A5E"/>
    <w:rsid w:val="007421BD"/>
    <w:rsid w:val="00760DF7"/>
    <w:rsid w:val="00792C4B"/>
    <w:rsid w:val="007B0B22"/>
    <w:rsid w:val="007D0F2F"/>
    <w:rsid w:val="007E7345"/>
    <w:rsid w:val="008722B2"/>
    <w:rsid w:val="00885EC9"/>
    <w:rsid w:val="0089144C"/>
    <w:rsid w:val="00895EE4"/>
    <w:rsid w:val="008A02E9"/>
    <w:rsid w:val="008A7EEC"/>
    <w:rsid w:val="008E3D6C"/>
    <w:rsid w:val="008E56C6"/>
    <w:rsid w:val="00911256"/>
    <w:rsid w:val="0092736F"/>
    <w:rsid w:val="00965A9B"/>
    <w:rsid w:val="009C4F92"/>
    <w:rsid w:val="009E386E"/>
    <w:rsid w:val="00A67F56"/>
    <w:rsid w:val="00A737B2"/>
    <w:rsid w:val="00AE511F"/>
    <w:rsid w:val="00B143ED"/>
    <w:rsid w:val="00B43E20"/>
    <w:rsid w:val="00B71F5C"/>
    <w:rsid w:val="00B80E0F"/>
    <w:rsid w:val="00B97748"/>
    <w:rsid w:val="00BC2C62"/>
    <w:rsid w:val="00BC587A"/>
    <w:rsid w:val="00C16CE9"/>
    <w:rsid w:val="00C34DA8"/>
    <w:rsid w:val="00C42C8B"/>
    <w:rsid w:val="00C47B9C"/>
    <w:rsid w:val="00C569F4"/>
    <w:rsid w:val="00C81B6B"/>
    <w:rsid w:val="00CA3A3A"/>
    <w:rsid w:val="00CC23EB"/>
    <w:rsid w:val="00CC6777"/>
    <w:rsid w:val="00CE7FD4"/>
    <w:rsid w:val="00D20C90"/>
    <w:rsid w:val="00D30C00"/>
    <w:rsid w:val="00D36C43"/>
    <w:rsid w:val="00D44EA4"/>
    <w:rsid w:val="00D47F68"/>
    <w:rsid w:val="00D62E56"/>
    <w:rsid w:val="00D91CBB"/>
    <w:rsid w:val="00DB4938"/>
    <w:rsid w:val="00DE189B"/>
    <w:rsid w:val="00DF0624"/>
    <w:rsid w:val="00E11BD7"/>
    <w:rsid w:val="00E43EA6"/>
    <w:rsid w:val="00E56B25"/>
    <w:rsid w:val="00E62C50"/>
    <w:rsid w:val="00E91542"/>
    <w:rsid w:val="00EE6C75"/>
    <w:rsid w:val="00F7202E"/>
    <w:rsid w:val="00F86E84"/>
    <w:rsid w:val="00F908E8"/>
    <w:rsid w:val="00FD7C25"/>
    <w:rsid w:val="00FE1FD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256"/>
    <w:pPr>
      <w:spacing w:after="0" w:line="240" w:lineRule="auto"/>
    </w:pPr>
    <w:rPr>
      <w:rFonts w:ascii="univers" w:eastAsia="Times New Roman" w:hAnsi="univers" w:cs="Times New Roman"/>
      <w:szCs w:val="20"/>
      <w:lang w:val="fr-FR" w:eastAsia="fr-BE"/>
    </w:rPr>
  </w:style>
  <w:style w:type="paragraph" w:styleId="Titre2">
    <w:name w:val="heading 2"/>
    <w:basedOn w:val="Normal"/>
    <w:next w:val="Normal"/>
    <w:link w:val="Titre2Car"/>
    <w:qFormat/>
    <w:rsid w:val="00D44EA4"/>
    <w:pPr>
      <w:keepNext/>
      <w:spacing w:line="240" w:lineRule="atLeast"/>
      <w:jc w:val="both"/>
      <w:outlineLvl w:val="1"/>
    </w:pPr>
    <w:rPr>
      <w:b/>
      <w:color w:val="000000"/>
      <w:lang w:eastAsia="de-DE"/>
    </w:rPr>
  </w:style>
  <w:style w:type="paragraph" w:styleId="Titre3">
    <w:name w:val="heading 3"/>
    <w:basedOn w:val="Normal"/>
    <w:next w:val="Normal"/>
    <w:link w:val="Titre3Car"/>
    <w:qFormat/>
    <w:rsid w:val="00D44EA4"/>
    <w:pPr>
      <w:keepNext/>
      <w:spacing w:line="240" w:lineRule="atLeast"/>
      <w:ind w:firstLine="4536"/>
      <w:jc w:val="both"/>
      <w:outlineLvl w:val="2"/>
    </w:pPr>
    <w:rPr>
      <w:b/>
      <w:color w:val="000000"/>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11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e">
    <w:name w:val="Normal(e)"/>
    <w:basedOn w:val="Normal"/>
    <w:rsid w:val="00911256"/>
    <w:pPr>
      <w:widowControl w:val="0"/>
      <w:autoSpaceDE w:val="0"/>
      <w:autoSpaceDN w:val="0"/>
      <w:adjustRightInd w:val="0"/>
      <w:textAlignment w:val="center"/>
    </w:pPr>
    <w:rPr>
      <w:rFonts w:ascii="Helvetica" w:hAnsi="Helvetica"/>
      <w:color w:val="000000"/>
      <w:sz w:val="24"/>
      <w:lang w:eastAsia="fr-FR"/>
    </w:rPr>
  </w:style>
  <w:style w:type="character" w:customStyle="1" w:styleId="Normale1">
    <w:name w:val="Normal(e)1"/>
    <w:rsid w:val="00911256"/>
    <w:rPr>
      <w:rFonts w:ascii="Helvetica" w:hAnsi="Helvetica" w:cs="Courier New"/>
      <w:color w:val="000000"/>
      <w:spacing w:val="0"/>
      <w:w w:val="100"/>
      <w:position w:val="0"/>
      <w:sz w:val="24"/>
      <w:szCs w:val="24"/>
      <w:u w:val="none"/>
      <w:vertAlign w:val="baseline"/>
    </w:rPr>
  </w:style>
  <w:style w:type="paragraph" w:styleId="Textedebulles">
    <w:name w:val="Balloon Text"/>
    <w:basedOn w:val="Normal"/>
    <w:link w:val="TextedebullesCar"/>
    <w:uiPriority w:val="99"/>
    <w:semiHidden/>
    <w:unhideWhenUsed/>
    <w:rsid w:val="00911256"/>
    <w:rPr>
      <w:rFonts w:ascii="Tahoma" w:hAnsi="Tahoma" w:cs="Tahoma"/>
      <w:sz w:val="16"/>
      <w:szCs w:val="16"/>
    </w:rPr>
  </w:style>
  <w:style w:type="character" w:customStyle="1" w:styleId="TextedebullesCar">
    <w:name w:val="Texte de bulles Car"/>
    <w:basedOn w:val="Policepardfaut"/>
    <w:link w:val="Textedebulles"/>
    <w:uiPriority w:val="99"/>
    <w:semiHidden/>
    <w:rsid w:val="00911256"/>
    <w:rPr>
      <w:rFonts w:ascii="Tahoma" w:eastAsia="Times New Roman" w:hAnsi="Tahoma" w:cs="Tahoma"/>
      <w:sz w:val="16"/>
      <w:szCs w:val="16"/>
      <w:lang w:val="fr-FR" w:eastAsia="fr-BE"/>
    </w:rPr>
  </w:style>
  <w:style w:type="character" w:customStyle="1" w:styleId="Titre2Car">
    <w:name w:val="Titre 2 Car"/>
    <w:basedOn w:val="Policepardfaut"/>
    <w:link w:val="Titre2"/>
    <w:rsid w:val="00D44EA4"/>
    <w:rPr>
      <w:rFonts w:ascii="univers" w:eastAsia="Times New Roman" w:hAnsi="univers" w:cs="Times New Roman"/>
      <w:b/>
      <w:color w:val="000000"/>
      <w:szCs w:val="20"/>
      <w:lang w:val="fr-FR" w:eastAsia="de-DE"/>
    </w:rPr>
  </w:style>
  <w:style w:type="character" w:customStyle="1" w:styleId="Titre3Car">
    <w:name w:val="Titre 3 Car"/>
    <w:basedOn w:val="Policepardfaut"/>
    <w:link w:val="Titre3"/>
    <w:rsid w:val="00D44EA4"/>
    <w:rPr>
      <w:rFonts w:ascii="univers" w:eastAsia="Times New Roman" w:hAnsi="univers" w:cs="Times New Roman"/>
      <w:b/>
      <w:color w:val="000000"/>
      <w:szCs w:val="20"/>
      <w:lang w:val="fr-FR" w:eastAsia="de-DE"/>
    </w:rPr>
  </w:style>
  <w:style w:type="paragraph" w:styleId="Retraitcorpsdetexte2">
    <w:name w:val="Body Text Indent 2"/>
    <w:basedOn w:val="Normal"/>
    <w:link w:val="Retraitcorpsdetexte2Car"/>
    <w:semiHidden/>
    <w:rsid w:val="00D44EA4"/>
    <w:pPr>
      <w:spacing w:line="240" w:lineRule="atLeast"/>
      <w:ind w:left="284"/>
      <w:jc w:val="both"/>
    </w:pPr>
    <w:rPr>
      <w:rFonts w:ascii="Times New Roman" w:hAnsi="Times New Roman"/>
      <w:color w:val="000000"/>
      <w:sz w:val="24"/>
      <w:lang w:eastAsia="de-DE"/>
    </w:rPr>
  </w:style>
  <w:style w:type="character" w:customStyle="1" w:styleId="Retraitcorpsdetexte2Car">
    <w:name w:val="Retrait corps de texte 2 Car"/>
    <w:basedOn w:val="Policepardfaut"/>
    <w:link w:val="Retraitcorpsdetexte2"/>
    <w:semiHidden/>
    <w:rsid w:val="00D44EA4"/>
    <w:rPr>
      <w:rFonts w:ascii="Times New Roman" w:eastAsia="Times New Roman" w:hAnsi="Times New Roman" w:cs="Times New Roman"/>
      <w:color w:val="000000"/>
      <w:sz w:val="24"/>
      <w:szCs w:val="20"/>
      <w:lang w:val="fr-FR" w:eastAsia="de-DE"/>
    </w:rPr>
  </w:style>
  <w:style w:type="character" w:styleId="Lienhypertexte">
    <w:name w:val="Hyperlink"/>
    <w:basedOn w:val="Policepardfaut"/>
    <w:uiPriority w:val="99"/>
    <w:unhideWhenUsed/>
    <w:rsid w:val="00D20C90"/>
    <w:rPr>
      <w:color w:val="0000FF" w:themeColor="hyperlink"/>
      <w:u w:val="single"/>
    </w:rPr>
  </w:style>
  <w:style w:type="paragraph" w:styleId="En-tte">
    <w:name w:val="header"/>
    <w:basedOn w:val="Normal"/>
    <w:link w:val="En-tteCar"/>
    <w:semiHidden/>
    <w:unhideWhenUsed/>
    <w:rsid w:val="00067770"/>
    <w:pPr>
      <w:tabs>
        <w:tab w:val="center" w:pos="4536"/>
        <w:tab w:val="right" w:pos="9072"/>
      </w:tabs>
    </w:pPr>
  </w:style>
  <w:style w:type="character" w:customStyle="1" w:styleId="En-tteCar">
    <w:name w:val="En-tête Car"/>
    <w:basedOn w:val="Policepardfaut"/>
    <w:link w:val="En-tte"/>
    <w:semiHidden/>
    <w:rsid w:val="00067770"/>
    <w:rPr>
      <w:rFonts w:ascii="univers" w:eastAsia="Times New Roman" w:hAnsi="univers" w:cs="Times New Roman"/>
      <w:szCs w:val="20"/>
      <w:lang w:val="fr-FR" w:eastAsia="fr-BE"/>
    </w:rPr>
  </w:style>
  <w:style w:type="paragraph" w:styleId="Pieddepage">
    <w:name w:val="footer"/>
    <w:basedOn w:val="Normal"/>
    <w:link w:val="PieddepageCar"/>
    <w:uiPriority w:val="99"/>
    <w:unhideWhenUsed/>
    <w:rsid w:val="00067770"/>
    <w:pPr>
      <w:tabs>
        <w:tab w:val="center" w:pos="4536"/>
        <w:tab w:val="right" w:pos="9072"/>
      </w:tabs>
    </w:pPr>
  </w:style>
  <w:style w:type="character" w:customStyle="1" w:styleId="PieddepageCar">
    <w:name w:val="Pied de page Car"/>
    <w:basedOn w:val="Policepardfaut"/>
    <w:link w:val="Pieddepage"/>
    <w:uiPriority w:val="99"/>
    <w:rsid w:val="00067770"/>
    <w:rPr>
      <w:rFonts w:ascii="univers" w:eastAsia="Times New Roman" w:hAnsi="univers" w:cs="Times New Roman"/>
      <w:szCs w:val="20"/>
      <w:lang w:val="fr-FR" w:eastAsia="fr-BE"/>
    </w:rPr>
  </w:style>
  <w:style w:type="paragraph" w:styleId="Retraitcorpsdetexte">
    <w:name w:val="Body Text Indent"/>
    <w:basedOn w:val="Normal"/>
    <w:link w:val="RetraitcorpsdetexteCar"/>
    <w:uiPriority w:val="99"/>
    <w:semiHidden/>
    <w:unhideWhenUsed/>
    <w:rsid w:val="00704359"/>
    <w:pPr>
      <w:spacing w:after="120"/>
      <w:ind w:left="283"/>
    </w:pPr>
  </w:style>
  <w:style w:type="character" w:customStyle="1" w:styleId="RetraitcorpsdetexteCar">
    <w:name w:val="Retrait corps de texte Car"/>
    <w:basedOn w:val="Policepardfaut"/>
    <w:link w:val="Retraitcorpsdetexte"/>
    <w:uiPriority w:val="99"/>
    <w:semiHidden/>
    <w:rsid w:val="00704359"/>
    <w:rPr>
      <w:rFonts w:ascii="univers" w:eastAsia="Times New Roman" w:hAnsi="univers" w:cs="Times New Roman"/>
      <w:szCs w:val="20"/>
      <w:lang w:val="fr-FR" w:eastAsia="fr-BE"/>
    </w:rPr>
  </w:style>
  <w:style w:type="paragraph" w:styleId="NormalWeb">
    <w:name w:val="Normal (Web)"/>
    <w:basedOn w:val="Normal"/>
    <w:uiPriority w:val="99"/>
    <w:semiHidden/>
    <w:unhideWhenUsed/>
    <w:rsid w:val="00704359"/>
    <w:pPr>
      <w:spacing w:before="100" w:beforeAutospacing="1" w:after="100" w:afterAutospacing="1"/>
    </w:pPr>
    <w:rPr>
      <w:rFonts w:ascii="Times New Roman" w:eastAsiaTheme="minorHAnsi" w:hAnsi="Times New Roman"/>
      <w:sz w:val="24"/>
      <w:szCs w:val="24"/>
      <w:lang w:val="fr-BE"/>
    </w:rPr>
  </w:style>
</w:styles>
</file>

<file path=word/webSettings.xml><?xml version="1.0" encoding="utf-8"?>
<w:webSettings xmlns:r="http://schemas.openxmlformats.org/officeDocument/2006/relationships" xmlns:w="http://schemas.openxmlformats.org/wordprocessingml/2006/main">
  <w:divs>
    <w:div w:id="157929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4529\Mes%20documents\mes%20documents\DAL%20entete.do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82E25-DC15-4BAB-932E-2717E5EA2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DAL entete.dot.dotx</Template>
  <TotalTime>1</TotalTime>
  <Pages>2</Pages>
  <Words>362</Words>
  <Characters>1991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114529</dc:creator>
  <cp:lastModifiedBy>Cuvelier</cp:lastModifiedBy>
  <cp:revision>2</cp:revision>
  <cp:lastPrinted>2017-05-22T05:45:00Z</cp:lastPrinted>
  <dcterms:created xsi:type="dcterms:W3CDTF">2017-07-18T09:35:00Z</dcterms:created>
  <dcterms:modified xsi:type="dcterms:W3CDTF">2017-07-18T09:35:00Z</dcterms:modified>
</cp:coreProperties>
</file>