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B7E26" w:rsidRDefault="000B7E26" w:rsidP="0075737F">
      <w:pPr>
        <w:jc w:val="center"/>
        <w:rPr>
          <w:sz w:val="24"/>
          <w:szCs w:val="24"/>
        </w:rPr>
      </w:pPr>
    </w:p>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0B7E26" w:rsidRDefault="000B7E26">
      <w:pPr>
        <w:rPr>
          <w:rFonts w:asciiTheme="minorHAnsi" w:hAnsiTheme="minorHAnsi"/>
          <w:sz w:val="24"/>
          <w:szCs w:val="24"/>
        </w:rPr>
      </w:pPr>
    </w:p>
    <w:p w:rsidR="0075737F" w:rsidRPr="0075737F" w:rsidRDefault="0075737F">
      <w:pPr>
        <w:rPr>
          <w:rFonts w:asciiTheme="minorHAnsi" w:hAnsiTheme="minorHAnsi"/>
          <w:sz w:val="24"/>
          <w:szCs w:val="24"/>
        </w:rPr>
      </w:pP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75737F" w:rsidRDefault="0075737F">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9214E2" w:rsidRDefault="009214E2">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p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rsidTr="009214E2">
        <w:trPr>
          <w:trHeight w:val="959"/>
        </w:trPr>
        <w:tc>
          <w:tcPr>
            <w:tcW w:w="9322" w:type="dxa"/>
            <w:tcBorders>
              <w:top w:val="nil"/>
              <w:left w:val="nil"/>
              <w:bottom w:val="nil"/>
              <w:right w:val="nil"/>
            </w:tcBorders>
            <w:shd w:val="clear" w:color="auto" w:fill="F2DBDB" w:themeFill="accent2" w:themeFillTint="33"/>
          </w:tcPr>
          <w:p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75737F" w:rsidRPr="009214E2" w:rsidRDefault="0075737F" w:rsidP="009214E2">
            <w:pPr>
              <w:jc w:val="center"/>
              <w:rPr>
                <w:rFonts w:asciiTheme="minorHAnsi" w:eastAsia="Times New Roman" w:hAnsiTheme="minorHAnsi" w:cs="Times New Roman"/>
                <w:sz w:val="24"/>
                <w:szCs w:val="24"/>
                <w:lang w:val="fr-FR" w:eastAsia="fr-FR"/>
              </w:rPr>
            </w:pPr>
          </w:p>
          <w:p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75737F" w:rsidRDefault="0075737F">
            <w:pPr>
              <w:rPr>
                <w:rFonts w:asciiTheme="minorHAnsi" w:eastAsia="Times New Roman" w:hAnsiTheme="minorHAnsi" w:cs="Times New Roman"/>
                <w:sz w:val="36"/>
                <w:szCs w:val="36"/>
                <w:lang w:val="fr-FR" w:eastAsia="fr-FR"/>
              </w:rPr>
            </w:pPr>
          </w:p>
        </w:tc>
      </w:tr>
    </w:tbl>
    <w:p w:rsidR="0075737F" w:rsidRDefault="0075737F">
      <w:pPr>
        <w:rPr>
          <w:rFonts w:asciiTheme="minorHAnsi" w:eastAsia="Times New Roman" w:hAnsiTheme="minorHAnsi" w:cs="Times New Roman"/>
          <w:sz w:val="36"/>
          <w:szCs w:val="36"/>
          <w:lang w:val="fr-FR" w:eastAsia="fr-FR"/>
        </w:rPr>
      </w:pPr>
    </w:p>
    <w:p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rsidR="00B73DEA" w:rsidRDefault="00B73DEA" w:rsidP="0075737F">
      <w:pPr>
        <w:jc w:val="both"/>
        <w:rPr>
          <w:rFonts w:asciiTheme="minorHAnsi" w:eastAsia="Times New Roman" w:hAnsiTheme="minorHAnsi" w:cs="Times New Roman"/>
          <w:b/>
          <w:sz w:val="36"/>
          <w:szCs w:val="36"/>
          <w:lang w:val="fr-FR" w:eastAsia="fr-FR"/>
        </w:rPr>
      </w:pPr>
    </w:p>
    <w:p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2D33B5">
        <w:rPr>
          <w:rFonts w:asciiTheme="minorHAnsi" w:hAnsiTheme="minorHAnsi" w:cs="Times New Roman"/>
        </w:rPr>
        <w:t xml:space="preserve"> </w:t>
      </w:r>
      <w:r w:rsidR="002D33B5">
        <w:rPr>
          <w:rFonts w:asciiTheme="minorHAnsi" w:hAnsiTheme="minorHAnsi"/>
        </w:rPr>
        <w:t>Pays :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82C24" w:rsidRDefault="00782C24" w:rsidP="0075737F">
      <w:pPr>
        <w:jc w:val="both"/>
        <w:rPr>
          <w:rFonts w:asciiTheme="minorHAnsi" w:eastAsia="Times New Roman" w:hAnsiTheme="minorHAnsi" w:cs="Times New Roman"/>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1A54B3" w:rsidRDefault="001A54B3" w:rsidP="00B73DEA">
      <w:pPr>
        <w:jc w:val="both"/>
        <w:rPr>
          <w:rFonts w:asciiTheme="minorHAnsi" w:eastAsia="Times New Roman" w:hAnsiTheme="minorHAnsi" w:cs="Times New Roman"/>
          <w:b/>
          <w:sz w:val="36"/>
          <w:szCs w:val="36"/>
          <w:lang w:val="fr-FR" w:eastAsia="fr-FR"/>
        </w:rPr>
      </w:pPr>
    </w:p>
    <w:p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b)  Architecte</w:t>
      </w:r>
    </w:p>
    <w:p w:rsidR="00B73DEA" w:rsidRPr="0075737F" w:rsidRDefault="00B73DEA" w:rsidP="0075737F">
      <w:pPr>
        <w:jc w:val="both"/>
        <w:rPr>
          <w:rFonts w:asciiTheme="minorHAnsi" w:eastAsia="Times New Roman" w:hAnsiTheme="minorHAnsi" w:cs="Times New Roman"/>
          <w:lang w:val="fr-FR" w:eastAsia="fr-FR"/>
        </w:rPr>
      </w:pPr>
    </w:p>
    <w:p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r w:rsidRPr="0075737F">
        <w:rPr>
          <w:rFonts w:asciiTheme="minorHAnsi" w:hAnsiTheme="minorHAnsi" w:cs="Times New Roman"/>
        </w:rPr>
        <w:t>…</w:t>
      </w:r>
    </w:p>
    <w:p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2D33B5">
        <w:rPr>
          <w:rFonts w:asciiTheme="minorHAnsi" w:hAnsiTheme="minorHAnsi"/>
        </w:rPr>
        <w:t xml:space="preserve"> Pays : ……………………………………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 xml:space="preserve">Courriel :…………………………………………………………………………..  </w:t>
      </w:r>
    </w:p>
    <w:p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e demandeur a reçu de son architecte l’attestation n° ...........délivrée le .../.../.... par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9"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rsidR="00121924" w:rsidRPr="0053442D" w:rsidRDefault="00121924" w:rsidP="0075737F">
      <w:pPr>
        <w:jc w:val="both"/>
        <w:rPr>
          <w:rFonts w:asciiTheme="minorHAnsi" w:eastAsia="Times New Roman" w:hAnsiTheme="minorHAnsi" w:cs="Times New Roman"/>
          <w:b/>
          <w:szCs w:val="36"/>
          <w:lang w:val="fr-FR" w:eastAsia="fr-FR"/>
        </w:rPr>
      </w:pPr>
    </w:p>
    <w:p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Pr="0075737F">
        <w:rPr>
          <w:rFonts w:asciiTheme="minorHAnsi" w:hAnsiTheme="minorHAnsi"/>
        </w:rPr>
        <w:lastRenderedPageBreak/>
        <w:t>………………………………………………………………………………………………………………………………………………………………………………………………………</w:t>
      </w:r>
      <w:r w:rsidR="00D32BCD">
        <w:rPr>
          <w:rFonts w:asciiTheme="minorHAnsi" w:hAnsiTheme="minorHAnsi"/>
        </w:rPr>
        <w:t>………………………………………………………………………………………………………………..</w:t>
      </w:r>
    </w:p>
    <w:p w:rsidR="0075737F" w:rsidRDefault="0075737F"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w:t>
      </w:r>
      <w:r w:rsidR="00A04649">
        <w:rPr>
          <w:rFonts w:asciiTheme="minorHAnsi" w:hAnsiTheme="minorHAnsi"/>
        </w:rPr>
        <w:t>……..</w:t>
      </w:r>
      <w:r w:rsidR="0075737F" w:rsidRPr="0075737F">
        <w:rPr>
          <w:rFonts w:asciiTheme="minorHAnsi" w:hAnsiTheme="minorHAnsi"/>
        </w:rPr>
        <w:t>…n° …………………..</w:t>
      </w:r>
    </w:p>
    <w:p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r w:rsidRPr="0075737F">
        <w:t>… à ….</w:t>
      </w:r>
    </w:p>
    <w:p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A04649"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854321" w:rsidRDefault="00854321" w:rsidP="0075737F">
      <w:pPr>
        <w:jc w:val="both"/>
        <w:rPr>
          <w:rFonts w:asciiTheme="minorHAnsi" w:eastAsia="Times New Roman" w:hAnsiTheme="minorHAnsi" w:cs="Times New Roman"/>
          <w:b/>
          <w:sz w:val="36"/>
          <w:szCs w:val="36"/>
          <w:lang w:val="fr-FR" w:eastAsia="fr-FR"/>
        </w:rPr>
      </w:pPr>
    </w:p>
    <w:p w:rsidR="00AA0C65" w:rsidRDefault="00AA0C65" w:rsidP="0075737F">
      <w:pPr>
        <w:jc w:val="both"/>
        <w:rPr>
          <w:rFonts w:asciiTheme="minorHAnsi" w:eastAsia="Times New Roman" w:hAnsiTheme="minorHAnsi" w:cs="Times New Roman"/>
          <w:b/>
          <w:sz w:val="36"/>
          <w:szCs w:val="36"/>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Dn.</w:t>
      </w:r>
    </w:p>
    <w:p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 </w:t>
      </w:r>
      <w:r w:rsidRPr="0075737F">
        <w:t>:…..</w:t>
      </w:r>
      <w:r w:rsidR="002D33B5">
        <w:t xml:space="preserve">                                                                </w:t>
      </w:r>
      <w:r w:rsidR="002D33B5" w:rsidRPr="002D33B5">
        <w:rPr>
          <w:u w:val="single"/>
        </w:rPr>
        <w:t>Lot n</w:t>
      </w:r>
      <w:r w:rsidR="002D33B5">
        <w:t xml:space="preserve"> : ……            </w:t>
      </w:r>
    </w:p>
    <w:p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p>
    <w:p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r w:rsidR="008225EA">
        <w:rPr>
          <w:rFonts w:asciiTheme="minorHAnsi" w:hAnsiTheme="minorHAnsi"/>
          <w:color w:val="000000"/>
        </w:rPr>
        <w:t xml:space="preserve"> </w:t>
      </w:r>
      <w:r w:rsidRPr="00D41982">
        <w:rPr>
          <w:rFonts w:asciiTheme="minorHAnsi" w:hAnsiTheme="minorHAnsi"/>
          <w:color w:val="000000"/>
        </w:rPr>
        <w:t>:……</w:t>
      </w:r>
      <w:r w:rsidR="008225EA">
        <w:rPr>
          <w:rFonts w:asciiTheme="minorHAnsi" w:hAnsiTheme="minorHAnsi"/>
          <w:color w:val="000000"/>
        </w:rPr>
        <w:t>…………………….</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r w:rsidRPr="0075737F">
        <w:t>…</w:t>
      </w:r>
      <w:r w:rsidR="008225EA">
        <w:t xml:space="preserve"> </w:t>
      </w:r>
      <w:r w:rsidRPr="0075737F">
        <w:t>qui reprend celui-ci en zone …</w:t>
      </w:r>
      <w:r w:rsidR="008225EA">
        <w:t>………………………..</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color w:val="336699"/>
        </w:rPr>
        <w:t xml:space="preserv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r w:rsidR="008225EA">
        <w:t>……</w:t>
      </w:r>
    </w:p>
    <w:p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0075737F" w:rsidRPr="009214E2">
        <w:t>…</w:t>
      </w:r>
      <w:r w:rsidRPr="009214E2">
        <w:rPr>
          <w:rFonts w:eastAsia="Times New Roman" w:cs="Times New Roman"/>
          <w:b/>
          <w:lang w:val="fr-FR" w:eastAsia="fr-FR"/>
        </w:rPr>
        <w:t xml:space="preserve"> </w:t>
      </w:r>
    </w:p>
    <w:p w:rsidR="00F80285" w:rsidRDefault="00F80285" w:rsidP="00927DAA">
      <w:pPr>
        <w:jc w:val="both"/>
        <w:rPr>
          <w:rFonts w:asciiTheme="minorHAnsi" w:eastAsia="Times New Roman" w:hAnsiTheme="minorHAnsi" w:cs="Times New Roman"/>
          <w:lang w:val="fr-FR" w:eastAsia="fr-FR"/>
        </w:rPr>
      </w:pPr>
    </w:p>
    <w:p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lastRenderedPageBreak/>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site</w:t>
      </w:r>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site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zone de protection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pastillé à l’inventaire régional du patrimoine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relevant du petit patrimoine populaire qui bénéficie ou a bénéficié de l’intervention financière de la Région</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repris à l’inventaire communal</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bien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801F32">
        <w:rPr>
          <w:rFonts w:cs="Times New Roman"/>
          <w:color w:val="000000"/>
        </w:rPr>
        <w:t xml:space="preserve">bien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801F32">
        <w:rPr>
          <w:rFonts w:cs="Times New Roman"/>
          <w:color w:val="000000"/>
        </w:rPr>
        <w:t>bien visé par un projet dont la superficie de construction et d’aménagement des abords est égale ou supérieure à un hectare</w:t>
      </w:r>
    </w:p>
    <w:p w:rsidR="00F80285" w:rsidRPr="00801F32" w:rsidRDefault="00F80285" w:rsidP="0075737F">
      <w:pPr>
        <w:jc w:val="both"/>
        <w:rPr>
          <w:rFonts w:asciiTheme="minorHAnsi" w:eastAsia="Times New Roman" w:hAnsiTheme="minorHAnsi" w:cs="Times New Roman"/>
          <w:b/>
          <w:lang w:eastAsia="fr-FR"/>
        </w:rPr>
      </w:pPr>
    </w:p>
    <w:p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provisoirement ou définitivement classé</w:t>
      </w:r>
    </w:p>
    <w:p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801F32">
        <w:rPr>
          <w:rFonts w:cs="Times New Roman"/>
          <w:color w:val="000000"/>
        </w:rPr>
        <w:t>bien situé dans une zone de protection d’un bien provisoirement ou définitivement classé</w:t>
      </w:r>
    </w:p>
    <w:p w:rsidR="00E72482" w:rsidRPr="00927DAA" w:rsidRDefault="00E72482" w:rsidP="0075737F">
      <w:pPr>
        <w:jc w:val="both"/>
        <w:rPr>
          <w:rFonts w:asciiTheme="minorHAnsi" w:eastAsia="Times New Roman" w:hAnsiTheme="minorHAnsi" w:cs="Times New Roman"/>
          <w:b/>
          <w:lang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rsidR="0075737F" w:rsidRPr="0075737F" w:rsidRDefault="0075737F" w:rsidP="0075737F">
      <w:pPr>
        <w:jc w:val="both"/>
        <w:rPr>
          <w:rFonts w:asciiTheme="minorHAnsi" w:eastAsia="Times New Roman" w:hAnsiTheme="minorHAnsi" w:cs="Times New Roman"/>
          <w:b/>
          <w:lang w:val="fr-FR" w:eastAsia="fr-FR"/>
        </w:rPr>
      </w:pPr>
    </w:p>
    <w:p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AB2574">
      <w:pPr>
        <w:rPr>
          <w:rFonts w:asciiTheme="minorHAnsi" w:eastAsia="Times New Roman" w:hAnsiTheme="minorHAnsi" w:cs="Times New Roman"/>
          <w:b/>
          <w:lang w:val="fr-FR" w:eastAsia="fr-FR"/>
        </w:rPr>
      </w:pPr>
    </w:p>
    <w:p w:rsidR="00E72482" w:rsidRDefault="00E72482"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53442D" w:rsidRDefault="0053442D" w:rsidP="0075737F">
      <w:pPr>
        <w:jc w:val="both"/>
        <w:rPr>
          <w:rFonts w:asciiTheme="minorHAnsi" w:eastAsia="Times New Roman" w:hAnsiTheme="minorHAnsi" w:cs="Times New Roman"/>
          <w:b/>
          <w:sz w:val="36"/>
          <w:szCs w:val="36"/>
          <w:lang w:val="fr-FR" w:eastAsia="fr-FR"/>
        </w:rPr>
      </w:pPr>
    </w:p>
    <w:p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7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r w:rsidR="00D41982" w:rsidRPr="008225EA">
        <w:rPr>
          <w:rStyle w:val="Style135pt"/>
          <w:rFonts w:asciiTheme="minorHAnsi" w:hAnsiTheme="minorHAnsi"/>
          <w:sz w:val="22"/>
          <w:szCs w:val="22"/>
          <w:u w:val="single"/>
        </w:rPr>
        <w:t>du CoDT</w:t>
      </w:r>
      <w:r w:rsidR="00450930">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75737F" w:rsidRPr="00D41982">
        <w:rPr>
          <w:rFonts w:asciiTheme="minorHAnsi" w:hAnsiTheme="minorHAnsi"/>
        </w:rPr>
        <w:t xml:space="preserve">Une notice d’évaluation des incidences </w:t>
      </w:r>
      <w:r w:rsidR="008225EA">
        <w:rPr>
          <w:rFonts w:asciiTheme="minorHAnsi" w:hAnsiTheme="minorHAnsi"/>
        </w:rPr>
        <w:t>sur l’environnement</w:t>
      </w:r>
    </w:p>
    <w:p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rsidR="007E7D16" w:rsidRPr="00F31755" w:rsidRDefault="007E7D16" w:rsidP="007E7D16">
      <w:pPr>
        <w:jc w:val="both"/>
        <w:rPr>
          <w:rFonts w:asciiTheme="minorHAnsi" w:eastAsia="Times New Roman" w:hAnsiTheme="minorHAnsi" w:cs="Times New Roman"/>
          <w:b/>
          <w:lang w:val="fr-FR" w:eastAsia="fr-FR"/>
        </w:rPr>
      </w:pPr>
    </w:p>
    <w:p w:rsidR="005532EC" w:rsidRDefault="005532EC" w:rsidP="007E7D16">
      <w:pPr>
        <w:jc w:val="both"/>
        <w:rPr>
          <w:rFonts w:asciiTheme="minorHAnsi" w:eastAsia="Times New Roman" w:hAnsiTheme="minorHAnsi" w:cs="Times New Roman"/>
          <w:b/>
          <w:sz w:val="36"/>
          <w:szCs w:val="36"/>
          <w:lang w:val="fr-FR" w:eastAsia="fr-FR"/>
        </w:rPr>
      </w:pPr>
    </w:p>
    <w:p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Pr="004E6670">
        <w:rPr>
          <w:rFonts w:asciiTheme="minorHAnsi" w:eastAsia="Times New Roman" w:hAnsiTheme="minorHAnsi" w:cs="Times New Roman"/>
          <w:b/>
          <w:sz w:val="36"/>
          <w:szCs w:val="36"/>
          <w:lang w:val="fr-FR" w:eastAsia="fr-FR"/>
        </w:rPr>
        <w:t xml:space="preserve"> – Décret relatif à la gestion des sols </w:t>
      </w:r>
    </w:p>
    <w:p w:rsidR="007E7D16" w:rsidRPr="009B2C8E" w:rsidRDefault="007E7D16" w:rsidP="007E7D16">
      <w:pPr>
        <w:jc w:val="both"/>
        <w:rPr>
          <w:rStyle w:val="Style135pt"/>
          <w:rFonts w:asciiTheme="minorHAnsi" w:eastAsia="Times New Roman" w:hAnsiTheme="minorHAnsi" w:cs="Times New Roman"/>
          <w:sz w:val="22"/>
          <w:lang w:val="fr-FR" w:eastAsia="fr-FR"/>
        </w:rPr>
      </w:pPr>
    </w:p>
    <w:p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5532EC" w:rsidRDefault="005532EC" w:rsidP="0075737F">
      <w:pPr>
        <w:jc w:val="both"/>
        <w:rPr>
          <w:rFonts w:asciiTheme="minorHAnsi" w:eastAsia="Times New Roman" w:hAnsiTheme="minorHAnsi" w:cs="Times New Roman"/>
          <w:b/>
          <w:sz w:val="36"/>
          <w:szCs w:val="36"/>
          <w:lang w:val="fr-FR" w:eastAsia="fr-FR"/>
        </w:rPr>
      </w:pPr>
    </w:p>
    <w:p w:rsidR="005532EC" w:rsidRDefault="005532EC" w:rsidP="0075737F">
      <w:pPr>
        <w:jc w:val="both"/>
        <w:rPr>
          <w:rFonts w:asciiTheme="minorHAnsi" w:eastAsia="Times New Roman" w:hAnsiTheme="minorHAnsi" w:cs="Times New Roman"/>
          <w:b/>
          <w:sz w:val="36"/>
          <w:szCs w:val="36"/>
          <w:lang w:val="fr-FR" w:eastAsia="fr-FR"/>
        </w:rPr>
      </w:pPr>
    </w:p>
    <w:p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rsidR="0075737F" w:rsidRPr="00826769" w:rsidRDefault="0075737F" w:rsidP="0075737F">
      <w:pPr>
        <w:jc w:val="both"/>
        <w:rPr>
          <w:rFonts w:asciiTheme="minorHAnsi" w:hAnsiTheme="minorHAnsi"/>
          <w:b/>
        </w:rPr>
      </w:pPr>
    </w:p>
    <w:p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E7D16" w:rsidRDefault="007E7D16" w:rsidP="007E7D16">
      <w:pPr>
        <w:rPr>
          <w:rFonts w:asciiTheme="minorHAnsi" w:eastAsia="Times New Roman" w:hAnsiTheme="minorHAnsi" w:cs="Times New Roman"/>
          <w:b/>
          <w:lang w:val="fr-FR" w:eastAsia="fr-FR"/>
        </w:rPr>
      </w:pPr>
    </w:p>
    <w:p w:rsidR="005532EC" w:rsidRDefault="005532EC" w:rsidP="007E7D16">
      <w:pPr>
        <w:rPr>
          <w:rFonts w:asciiTheme="minorHAnsi" w:eastAsia="Times New Roman" w:hAnsiTheme="minorHAnsi" w:cs="Times New Roman"/>
          <w:b/>
          <w:lang w:val="fr-FR" w:eastAsia="fr-FR"/>
        </w:rPr>
      </w:pPr>
    </w:p>
    <w:p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27A84" w:rsidRPr="0075737F" w:rsidRDefault="00227A84" w:rsidP="00227A84">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rsidR="0039681D" w:rsidRDefault="0039681D" w:rsidP="002F4853">
      <w:pPr>
        <w:rPr>
          <w:rFonts w:asciiTheme="minorHAnsi" w:eastAsia="Times New Roman" w:hAnsiTheme="minorHAnsi" w:cs="Times New Roman"/>
          <w:b/>
          <w:sz w:val="36"/>
          <w:szCs w:val="36"/>
          <w:lang w:val="fr-FR" w:eastAsia="fr-FR"/>
        </w:rPr>
      </w:pPr>
    </w:p>
    <w:p w:rsidR="00DD75A5" w:rsidRDefault="00DD75A5" w:rsidP="002F4853">
      <w:pPr>
        <w:rPr>
          <w:rFonts w:asciiTheme="minorHAnsi" w:eastAsia="Times New Roman" w:hAnsiTheme="minorHAnsi" w:cs="Times New Roman"/>
          <w:b/>
          <w:sz w:val="36"/>
          <w:szCs w:val="36"/>
          <w:lang w:val="fr-FR" w:eastAsia="fr-FR"/>
        </w:rPr>
      </w:pPr>
    </w:p>
    <w:p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2F4853" w:rsidRPr="007E7D16" w:rsidRDefault="002F4853" w:rsidP="002F4853">
      <w:pPr>
        <w:rPr>
          <w:rFonts w:asciiTheme="minorHAnsi" w:eastAsia="Times New Roman" w:hAnsiTheme="minorHAnsi" w:cs="Times New Roman"/>
          <w:b/>
          <w:lang w:val="fr-FR" w:eastAsia="fr-FR"/>
        </w:rPr>
      </w:pPr>
    </w:p>
    <w:p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2F4853" w:rsidRPr="00D5454C" w:rsidRDefault="00D5454C"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obligatoire en vertu du CoDT</w:t>
      </w:r>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rsidR="00F469A5" w:rsidRDefault="00F469A5" w:rsidP="0075737F">
      <w:pPr>
        <w:jc w:val="both"/>
        <w:rPr>
          <w:rFonts w:asciiTheme="minorHAnsi" w:eastAsia="Times New Roman" w:hAnsiTheme="minorHAnsi" w:cs="Times New Roman"/>
          <w:b/>
          <w:sz w:val="36"/>
          <w:szCs w:val="36"/>
          <w:lang w:val="fr-FR" w:eastAsia="fr-FR"/>
        </w:rPr>
      </w:pPr>
    </w:p>
    <w:p w:rsidR="00F469A5" w:rsidRDefault="00F469A5" w:rsidP="0075737F">
      <w:pPr>
        <w:jc w:val="both"/>
        <w:rPr>
          <w:rFonts w:asciiTheme="minorHAnsi" w:eastAsia="Times New Roman" w:hAnsiTheme="minorHAnsi" w:cs="Times New Roman"/>
          <w:b/>
          <w:sz w:val="36"/>
          <w:szCs w:val="36"/>
          <w:lang w:val="fr-FR" w:eastAsia="fr-FR"/>
        </w:rPr>
      </w:pPr>
    </w:p>
    <w:p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rsidR="0075737F" w:rsidRPr="0075737F" w:rsidRDefault="0075737F" w:rsidP="0075737F">
      <w:pPr>
        <w:jc w:val="both"/>
        <w:rPr>
          <w:rFonts w:asciiTheme="minorHAnsi" w:eastAsia="Times New Roman" w:hAnsiTheme="minorHAnsi" w:cs="Times New Roman"/>
          <w:b/>
          <w:lang w:val="fr-FR" w:eastAsia="fr-FR"/>
        </w:rPr>
      </w:pPr>
    </w:p>
    <w:p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rsidR="0075737F" w:rsidRPr="00E63BFD" w:rsidRDefault="0075737F" w:rsidP="0075737F">
      <w:pPr>
        <w:jc w:val="both"/>
        <w:rPr>
          <w:rStyle w:val="Style135pt"/>
          <w:rFonts w:asciiTheme="minorHAnsi" w:hAnsiTheme="minorHAnsi"/>
          <w:sz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un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0" w:name="CaseACocher5"/>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0"/>
      <w:r w:rsidR="0075737F" w:rsidRPr="00E63BFD">
        <w:rPr>
          <w:rStyle w:val="Style135pt"/>
          <w:rFonts w:asciiTheme="minorHAnsi" w:hAnsiTheme="minorHAnsi"/>
          <w:sz w:val="22"/>
          <w:szCs w:val="22"/>
        </w:rPr>
        <w:tab/>
        <w:t>l’orientation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1" w:name="CaseACocher6"/>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t>la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2" w:name="CaseACocher7"/>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t>les voies de desserte et leur dénomination ;</w:t>
      </w:r>
    </w:p>
    <w:p w:rsidR="0075737F" w:rsidRPr="00E63BFD" w:rsidRDefault="0075737F" w:rsidP="0075737F">
      <w:pPr>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un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l'orientation ;</w:t>
      </w:r>
    </w:p>
    <w:p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la voirie de desserte cotée avec indication de son statut juridique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lorsque le projet implique l'application des articles D.IV.5 à D.IV.13</w:t>
      </w:r>
      <w:r w:rsidR="00D41982">
        <w:rPr>
          <w:rStyle w:val="Style135pt"/>
          <w:rFonts w:asciiTheme="minorHAnsi" w:hAnsiTheme="minorHAnsi"/>
          <w:sz w:val="22"/>
        </w:rPr>
        <w:t xml:space="preserve"> du CoDT</w:t>
      </w:r>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 xml:space="preserve">les principales caractéristiques du paysage telles que les éléments marquants du relief, </w:t>
      </w:r>
      <w:r w:rsidR="0075737F" w:rsidRPr="00E63BFD">
        <w:rPr>
          <w:rFonts w:asciiTheme="minorHAnsi" w:eastAsia="Times New Roman" w:hAnsiTheme="minorHAnsi" w:cs="Times New Roman"/>
          <w:lang w:val="fr-FR" w:eastAsia="fr-FR"/>
        </w:rPr>
        <w:lastRenderedPageBreak/>
        <w:t>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CoDT</w:t>
      </w:r>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l'indication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rsidR="0075737F" w:rsidRPr="00E63BFD" w:rsidRDefault="0075737F" w:rsidP="0075737F">
      <w:pPr>
        <w:spacing w:before="120"/>
        <w:jc w:val="both"/>
        <w:rPr>
          <w:rFonts w:asciiTheme="minorHAnsi" w:eastAsia="Times New Roman" w:hAnsiTheme="minorHAnsi" w:cs="Times New Roman"/>
          <w:lang w:val="fr-FR" w:eastAsia="fr-FR"/>
        </w:rPr>
      </w:pPr>
    </w:p>
    <w:p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 xml:space="preserve">un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t>au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CC1C72">
        <w:rPr>
          <w:rFonts w:asciiTheme="minorHAnsi" w:eastAsia="Times New Roman" w:hAnsiTheme="minorHAnsi" w:cs="Times New Roman"/>
          <w:lang w:val="fr-FR" w:eastAsia="fr-FR"/>
        </w:rPr>
      </w:r>
      <w:r w:rsidR="00CC1C72">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 xml:space="preserve">lorsqu'il s'agit d'une nouvelle construction ou lorsque le projet implique l'application des articles D.IV.5 à D.IV.13 du CoDT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rsidR="0075737F" w:rsidRPr="00E63BFD" w:rsidRDefault="0075737F" w:rsidP="0075737F">
      <w:pPr>
        <w:ind w:left="705" w:hanging="705"/>
        <w:jc w:val="both"/>
        <w:rPr>
          <w:rFonts w:asciiTheme="minorHAnsi" w:eastAsia="Times New Roman" w:hAnsiTheme="minorHAnsi" w:cs="Times New Roman"/>
          <w:iCs/>
          <w:lang w:val="fr-FR" w:eastAsia="fr-FR"/>
        </w:rPr>
      </w:pPr>
    </w:p>
    <w:p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CC1C72">
        <w:rPr>
          <w:rFonts w:asciiTheme="minorHAnsi" w:eastAsia="Times New Roman" w:hAnsiTheme="minorHAnsi" w:cs="Times New Roman"/>
          <w:iCs/>
          <w:lang w:val="fr-FR" w:eastAsia="fr-FR"/>
        </w:rPr>
      </w:r>
      <w:r w:rsidR="00CC1C72">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3" w:name="CaseACocher24"/>
      <w:r w:rsidR="0075737F" w:rsidRPr="00E63BFD">
        <w:rPr>
          <w:rStyle w:val="Style135ptItalique"/>
          <w:rFonts w:asciiTheme="minorHAnsi" w:hAnsiTheme="minorHAnsi"/>
          <w:sz w:val="22"/>
          <w:szCs w:val="22"/>
        </w:rPr>
        <w:instrText xml:space="preserve"> FORMCHECKBOX </w:instrText>
      </w:r>
      <w:r w:rsidR="00CC1C72">
        <w:rPr>
          <w:rStyle w:val="Style135ptItalique"/>
          <w:rFonts w:asciiTheme="minorHAnsi" w:hAnsiTheme="minorHAnsi"/>
          <w:i w:val="0"/>
          <w:sz w:val="22"/>
          <w:szCs w:val="22"/>
        </w:rPr>
      </w:r>
      <w:r w:rsidR="00CC1C7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3"/>
      <w:r w:rsidR="0075737F" w:rsidRPr="00E63BFD">
        <w:rPr>
          <w:rStyle w:val="Style135ptItalique"/>
          <w:rFonts w:asciiTheme="minorHAnsi" w:hAnsiTheme="minorHAnsi"/>
          <w:sz w:val="22"/>
          <w:szCs w:val="22"/>
        </w:rPr>
        <w:tab/>
      </w:r>
      <w:r w:rsidR="0075737F" w:rsidRPr="00D41982">
        <w:rPr>
          <w:rStyle w:val="Style135ptItalique"/>
          <w:rFonts w:asciiTheme="minorHAnsi" w:hAnsiTheme="minorHAnsi"/>
          <w:i w:val="0"/>
          <w:sz w:val="22"/>
          <w:szCs w:val="22"/>
        </w:rPr>
        <w:t>un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4" w:name="CaseACocher25"/>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4"/>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limites cotées de la parcelle concernée et les courbes de niveau ;</w:t>
      </w:r>
    </w:p>
    <w:p w:rsidR="006E3BF0" w:rsidRPr="00E63BFD" w:rsidRDefault="006E3BF0" w:rsidP="006E3BF0">
      <w:pPr>
        <w:pStyle w:val="Sansinterligne"/>
        <w:rPr>
          <w:rStyle w:val="Style135pt"/>
          <w:rFonts w:asciiTheme="minorHAnsi" w:hAnsiTheme="minorHAnsi"/>
          <w:sz w:val="22"/>
        </w:rPr>
      </w:pPr>
    </w:p>
    <w:p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r w:rsidR="0075737F" w:rsidRPr="00E63BFD">
        <w:rPr>
          <w:rStyle w:val="Style135pt"/>
          <w:rFonts w:asciiTheme="minorHAnsi" w:eastAsia="Times New Roman" w:hAnsiTheme="minorHAnsi"/>
          <w:color w:val="auto"/>
          <w:kern w:val="0"/>
          <w:sz w:val="22"/>
          <w:szCs w:val="22"/>
          <w:lang w:eastAsia="fr-FR" w:bidi="ar-SA"/>
        </w:rPr>
        <w:t xml:space="preserve">lorsqu’elle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5" w:name="CaseACocher26"/>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au moins deux coupes significatives longitudinale et transversale cotées du relief ainsi que, le cas échéant, les modifications projetées et cotées qui s'y rapportent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si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6" w:name="CaseACocher27"/>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ab/>
        <w:t>le cas échéant, l'implantation et le gabarit cotés des constructions existantes sur la parcelle, à maintenir ou à démolir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7" w:name="CaseACocher28"/>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l'implantation et le gabarit co</w:t>
      </w:r>
      <w:r w:rsidR="006E3BF0">
        <w:rPr>
          <w:rStyle w:val="Style135pt"/>
          <w:rFonts w:asciiTheme="minorHAnsi" w:hAnsiTheme="minorHAnsi"/>
          <w:sz w:val="22"/>
          <w:szCs w:val="22"/>
        </w:rPr>
        <w:t>tés des constructions projetées ;</w:t>
      </w:r>
    </w:p>
    <w:p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8" w:name="CaseACocher29"/>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ab/>
        <w:t>les servitudes du fait de l'homme sur le terrain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cas échéant, le tracé des infrastructures de transport de fluide et d’énergie qui traversent le ou les biens concernés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l'aménagement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lastRenderedPageBreak/>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niveau d’implantation du projet par rapport à un</w:t>
      </w:r>
      <w:r w:rsidR="006E3BF0">
        <w:rPr>
          <w:rStyle w:val="Style135pt"/>
          <w:rFonts w:asciiTheme="minorHAnsi" w:hAnsiTheme="minorHAnsi"/>
          <w:sz w:val="22"/>
          <w:szCs w:val="22"/>
        </w:rPr>
        <w:t xml:space="preserve"> repère fixe du domaine public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 xml:space="preserve">les aménagements et équipements de la voirie, ainsi que, le cas échéant, les modifications projetées et cotées qui s'y rapportent ; </w:t>
      </w:r>
    </w:p>
    <w:p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le réseau de principe du système d’évacuation des eaux ;</w:t>
      </w:r>
    </w:p>
    <w:p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t>en cas d’épuration individuelle avec dispersion des eaux dans le terrain, une étude hydrologique.</w:t>
      </w:r>
    </w:p>
    <w:p w:rsidR="0075737F" w:rsidRPr="00E63BFD" w:rsidRDefault="0075737F" w:rsidP="0075737F">
      <w:pPr>
        <w:pStyle w:val="StylePremireligne063cm"/>
        <w:ind w:firstLine="0"/>
        <w:rPr>
          <w:rStyle w:val="Style135pt"/>
          <w:rFonts w:asciiTheme="minorHAnsi" w:hAnsiTheme="minorHAnsi"/>
          <w:sz w:val="22"/>
          <w:szCs w:val="22"/>
        </w:rPr>
      </w:pPr>
    </w:p>
    <w:p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9" w:name="CaseACocher30"/>
      <w:r w:rsidR="0075737F" w:rsidRPr="00E63BFD">
        <w:rPr>
          <w:rStyle w:val="Style135ptItalique"/>
          <w:rFonts w:asciiTheme="minorHAnsi" w:hAnsiTheme="minorHAnsi"/>
          <w:sz w:val="22"/>
          <w:szCs w:val="22"/>
        </w:rPr>
        <w:instrText xml:space="preserve"> FORMCHECKBOX </w:instrText>
      </w:r>
      <w:r w:rsidR="00CC1C72">
        <w:rPr>
          <w:rStyle w:val="Style135ptItalique"/>
          <w:rFonts w:asciiTheme="minorHAnsi" w:hAnsiTheme="minorHAnsi"/>
          <w:i w:val="0"/>
          <w:sz w:val="22"/>
          <w:szCs w:val="22"/>
        </w:rPr>
      </w:r>
      <w:r w:rsidR="00CC1C72">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9"/>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la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0" w:name="CaseACocher31"/>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0"/>
      <w:r w:rsidR="0075737F" w:rsidRPr="00E63BFD">
        <w:rPr>
          <w:rStyle w:val="Style135pt"/>
          <w:rFonts w:asciiTheme="minorHAnsi" w:hAnsiTheme="minorHAnsi"/>
          <w:sz w:val="22"/>
          <w:szCs w:val="22"/>
        </w:rPr>
        <w:tab/>
        <w:t>la vue en plan de chaque niveau ainsi que l'affectation actuelle et future des locaux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1" w:name="CaseACocher32"/>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 xml:space="preserve">les élévations ;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t>la légende des matériaux de parement des élévations et de couverture des toitures ainsi que leurs tonalités ;</w:t>
      </w:r>
    </w:p>
    <w:p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2" w:name="CaseACocher33"/>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t>les coupes transversales et longitudinales cotées qui comportent le niveau d'implantation du rez-de-chaussée, les niveaux du relief du sol existant et projeté et le profil des constructions contiguës ;</w:t>
      </w:r>
    </w:p>
    <w:p w:rsidR="0075737F" w:rsidRPr="00E63BFD" w:rsidRDefault="0075737F" w:rsidP="0075737F">
      <w:pPr>
        <w:pStyle w:val="StylePremireligne063cm"/>
        <w:ind w:left="1418" w:hanging="709"/>
        <w:rPr>
          <w:rStyle w:val="Style135pt"/>
          <w:rFonts w:asciiTheme="minorHAnsi" w:hAnsiTheme="minorHAnsi"/>
          <w:sz w:val="22"/>
          <w:szCs w:val="22"/>
        </w:rPr>
      </w:pPr>
    </w:p>
    <w:p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3" w:name="CaseACocher35"/>
      <w:r w:rsidR="0075737F"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ab/>
        <w:t xml:space="preserve">le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rsidR="0075737F" w:rsidRPr="00050815" w:rsidRDefault="0075737F" w:rsidP="0075737F">
      <w:pPr>
        <w:ind w:left="709" w:hanging="708"/>
        <w:jc w:val="both"/>
        <w:rPr>
          <w:rFonts w:asciiTheme="minorHAnsi" w:eastAsia="Times New Roman" w:hAnsiTheme="minorHAnsi" w:cs="Times New Roman"/>
          <w:lang w:val="fr-FR" w:eastAsia="fr-FR"/>
        </w:rPr>
      </w:pPr>
    </w:p>
    <w:p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CC1C72">
        <w:rPr>
          <w:rStyle w:val="Style135pt"/>
          <w:rFonts w:asciiTheme="minorHAnsi" w:hAnsiTheme="minorHAnsi"/>
          <w:sz w:val="22"/>
        </w:rPr>
      </w:r>
      <w:r w:rsidR="00CC1C72">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r w:rsidR="0075737F" w:rsidRPr="00050815">
        <w:rPr>
          <w:rFonts w:asciiTheme="minorHAnsi" w:eastAsia="Times New Roman" w:hAnsiTheme="minorHAnsi" w:cs="Times New Roman"/>
          <w:lang w:val="fr-FR" w:eastAsia="fr-FR"/>
        </w:rPr>
        <w:t xml:space="preserve">le cas échéant, le dossier technique du projet de voirie, qui comprend : </w:t>
      </w:r>
    </w:p>
    <w:p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C1C72">
        <w:rPr>
          <w:rFonts w:asciiTheme="minorHAnsi" w:hAnsiTheme="minorHAnsi"/>
          <w:sz w:val="22"/>
          <w:szCs w:val="22"/>
        </w:rPr>
      </w:r>
      <w:r w:rsidR="00CC1C7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une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CC1C72">
        <w:rPr>
          <w:rFonts w:asciiTheme="minorHAnsi" w:hAnsiTheme="minorHAnsi"/>
          <w:sz w:val="22"/>
          <w:szCs w:val="22"/>
        </w:rPr>
      </w:r>
      <w:r w:rsidR="00CC1C72">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t>des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CC1C72">
        <w:rPr>
          <w:rStyle w:val="Style135pt"/>
          <w:rFonts w:asciiTheme="minorHAnsi" w:hAnsiTheme="minorHAnsi"/>
          <w:sz w:val="22"/>
          <w:szCs w:val="22"/>
        </w:rPr>
      </w:r>
      <w:r w:rsidR="00CC1C72">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r w:rsidRPr="00E63BFD">
        <w:rPr>
          <w:rStyle w:val="Style135pt"/>
          <w:rFonts w:asciiTheme="minorHAnsi" w:hAnsiTheme="minorHAnsi"/>
          <w:sz w:val="22"/>
          <w:szCs w:val="22"/>
        </w:rPr>
        <w:t>une coupe-type avec les matériaux projetés.</w:t>
      </w:r>
    </w:p>
    <w:p w:rsidR="0075737F" w:rsidRPr="00E63BFD" w:rsidRDefault="0075737F" w:rsidP="0075737F">
      <w:pPr>
        <w:pStyle w:val="StylePremireligne063cm"/>
        <w:tabs>
          <w:tab w:val="left" w:pos="1418"/>
        </w:tabs>
        <w:ind w:left="709" w:firstLine="0"/>
        <w:rPr>
          <w:rFonts w:asciiTheme="minorHAnsi" w:hAnsiTheme="minorHAnsi"/>
          <w:sz w:val="22"/>
          <w:szCs w:val="22"/>
        </w:rPr>
      </w:pPr>
    </w:p>
    <w:p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rsidR="0075737F" w:rsidRPr="0075737F" w:rsidRDefault="0075737F">
      <w:pPr>
        <w:rPr>
          <w:rFonts w:asciiTheme="minorHAnsi" w:hAnsiTheme="minorHAnsi"/>
        </w:rPr>
      </w:pPr>
    </w:p>
    <w:p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rsidR="00856CCC" w:rsidRDefault="00856CCC" w:rsidP="0075737F">
      <w:pPr>
        <w:jc w:val="both"/>
        <w:rPr>
          <w:rFonts w:asciiTheme="minorHAnsi" w:eastAsia="Times New Roman" w:hAnsiTheme="minorHAnsi" w:cs="Times New Roman"/>
          <w:b/>
          <w:sz w:val="36"/>
          <w:szCs w:val="36"/>
          <w:lang w:val="fr-FR" w:eastAsia="fr-FR"/>
        </w:rPr>
      </w:pPr>
    </w:p>
    <w:p w:rsidR="008C5543" w:rsidRDefault="008C5543"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B7153B" w:rsidRPr="001E31AA" w:rsidRDefault="00B7153B" w:rsidP="00797467">
      <w:pPr>
        <w:pStyle w:val="Pa4"/>
        <w:spacing w:before="300" w:after="100"/>
        <w:jc w:val="center"/>
        <w:rPr>
          <w:rFonts w:asciiTheme="minorHAnsi" w:hAnsiTheme="minorHAnsi"/>
          <w:b/>
          <w:i/>
          <w:color w:val="000000"/>
          <w:sz w:val="12"/>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FC46B6" w:rsidRDefault="00FC46B6" w:rsidP="00797467">
      <w:pPr>
        <w:pStyle w:val="Pa4"/>
        <w:spacing w:before="300" w:after="100"/>
        <w:jc w:val="center"/>
        <w:rPr>
          <w:rFonts w:asciiTheme="minorHAnsi" w:hAnsiTheme="minorHAnsi"/>
          <w:b/>
          <w:color w:val="000000"/>
        </w:rPr>
      </w:pPr>
    </w:p>
    <w:p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AB463D" w:rsidRDefault="00AB463D" w:rsidP="00AB463D">
      <w:pPr>
        <w:jc w:val="center"/>
        <w:rPr>
          <w:rFonts w:asciiTheme="minorHAnsi" w:hAnsiTheme="minorHAnsi"/>
          <w:b/>
          <w:lang w:eastAsia="fr-BE"/>
        </w:rPr>
      </w:pPr>
    </w:p>
    <w:p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AB463D" w:rsidRPr="00AB463D" w:rsidRDefault="00AB463D" w:rsidP="00AB463D">
      <w:pPr>
        <w:rPr>
          <w:lang w:eastAsia="fr-BE"/>
        </w:rPr>
      </w:pPr>
    </w:p>
    <w:p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rsidR="00797467" w:rsidRPr="00BC038C" w:rsidRDefault="00797467" w:rsidP="00797467">
      <w:pPr>
        <w:pStyle w:val="StylePremireligne063cm"/>
        <w:ind w:firstLine="0"/>
        <w:rPr>
          <w:rStyle w:val="Style135pt"/>
          <w:rFonts w:asciiTheme="minorHAnsi" w:hAnsiTheme="minorHAnsi"/>
          <w:sz w:val="22"/>
          <w:szCs w:val="22"/>
        </w:rPr>
      </w:pPr>
    </w:p>
    <w:p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110F6C" w:rsidRPr="001E31AA" w:rsidRDefault="00110F6C" w:rsidP="00FD1560">
      <w:pPr>
        <w:pStyle w:val="Pa4"/>
        <w:spacing w:before="300" w:after="100"/>
        <w:jc w:val="center"/>
        <w:rPr>
          <w:rFonts w:asciiTheme="minorHAnsi" w:hAnsiTheme="minorHAnsi"/>
          <w:b/>
          <w:i/>
          <w:color w:val="000000"/>
          <w:sz w:val="22"/>
          <w:szCs w:val="36"/>
        </w:rPr>
      </w:pPr>
    </w:p>
    <w:p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8335B" w:rsidRDefault="00D8335B" w:rsidP="00C5386E">
      <w:pPr>
        <w:ind w:firstLine="708"/>
        <w:rPr>
          <w:lang w:eastAsia="fr-BE"/>
        </w:rPr>
      </w:pPr>
    </w:p>
    <w:p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s dans le CoDT,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BD2D6A" w:rsidRDefault="00BD2D6A">
      <w:pPr>
        <w:jc w:val="both"/>
        <w:rPr>
          <w:rStyle w:val="Style135pt"/>
          <w:rFonts w:asciiTheme="minorHAnsi" w:eastAsia="Times New Roman" w:hAnsiTheme="minorHAnsi" w:cs="Times-Roman"/>
          <w:sz w:val="22"/>
          <w:lang w:val="fr-FR" w:eastAsia="fr-FR"/>
        </w:rPr>
      </w:pPr>
    </w:p>
    <w:p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BD2D6A" w:rsidRDefault="00BD2D6A">
      <w:pPr>
        <w:jc w:val="both"/>
        <w:rPr>
          <w:rStyle w:val="Style135pt"/>
          <w:rFonts w:asciiTheme="minorHAnsi" w:eastAsia="Times New Roman" w:hAnsiTheme="minorHAnsi" w:cs="Times-Roman"/>
          <w:sz w:val="22"/>
          <w:lang w:val="fr-FR"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0"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1F42AF" w:rsidRDefault="001F42AF" w:rsidP="00E358A5">
      <w:pPr>
        <w:jc w:val="both"/>
        <w:rPr>
          <w:rStyle w:val="Style135pt"/>
          <w:rFonts w:asciiTheme="minorHAnsi" w:eastAsia="Times New Roman" w:hAnsiTheme="minorHAnsi" w:cs="Times-Roman"/>
          <w:sz w:val="22"/>
          <w:lang w:eastAsia="fr-FR"/>
        </w:rPr>
      </w:pPr>
    </w:p>
    <w:p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1" w:tgtFrame="_blank" w:history="1">
        <w:r w:rsidRPr="001F42AF">
          <w:rPr>
            <w:rStyle w:val="Style135pt"/>
            <w:rFonts w:asciiTheme="minorHAnsi" w:eastAsia="Times New Roman" w:hAnsiTheme="minorHAnsi" w:cs="Times-Roman"/>
            <w:sz w:val="22"/>
            <w:lang w:eastAsia="fr-FR"/>
          </w:rPr>
          <w:t>dpo@spw.wallonie.be</w:t>
        </w:r>
      </w:hyperlink>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2"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rsidR="00E358A5" w:rsidRPr="00E358A5" w:rsidRDefault="00E358A5" w:rsidP="00E358A5">
      <w:pPr>
        <w:jc w:val="both"/>
        <w:rPr>
          <w:rStyle w:val="Style135pt"/>
          <w:rFonts w:asciiTheme="minorHAnsi" w:eastAsia="Times New Roman" w:hAnsiTheme="minorHAnsi" w:cs="Times-Roman"/>
          <w:sz w:val="22"/>
          <w:lang w:eastAsia="fr-FR"/>
        </w:rPr>
      </w:pPr>
    </w:p>
    <w:p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sidR="00CC4B4A">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E358A5" w:rsidRPr="00E358A5" w:rsidRDefault="00E358A5" w:rsidP="00E358A5">
      <w:pPr>
        <w:jc w:val="both"/>
        <w:rPr>
          <w:rStyle w:val="Style135pt"/>
          <w:rFonts w:asciiTheme="minorHAnsi" w:hAnsiTheme="minorHAnsi"/>
          <w:iCs/>
          <w:sz w:val="22"/>
          <w:lang w:val="fr-FR"/>
        </w:rPr>
      </w:pPr>
    </w:p>
    <w:p w:rsidR="00891874" w:rsidRDefault="00E358A5" w:rsidP="00E358A5">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sidR="004802AB">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CC1C72">
        <w:rPr>
          <w:rStyle w:val="Style135pt"/>
          <w:rFonts w:asciiTheme="minorHAnsi" w:hAnsiTheme="minorHAnsi"/>
          <w:iCs/>
          <w:sz w:val="22"/>
        </w:rPr>
        <w:t xml:space="preserve"> ou </w:t>
      </w:r>
      <w:r w:rsidRPr="00E358A5">
        <w:rPr>
          <w:rStyle w:val="Style135pt"/>
          <w:rFonts w:asciiTheme="minorHAnsi" w:hAnsiTheme="minorHAnsi"/>
          <w:iCs/>
          <w:sz w:val="22"/>
        </w:rPr>
        <w:t xml:space="preserve">le </w:t>
      </w:r>
      <w:r w:rsidRPr="00E358A5">
        <w:rPr>
          <w:rStyle w:val="Style135pt"/>
          <w:rFonts w:asciiTheme="minorHAnsi" w:hAnsiTheme="minorHAnsi"/>
          <w:iCs/>
          <w:sz w:val="22"/>
          <w:lang w:val="fr-FR"/>
        </w:rPr>
        <w:t xml:space="preserve">Délégué à la </w:t>
      </w:r>
      <w:r w:rsidR="00CC1C72">
        <w:rPr>
          <w:rStyle w:val="Style135pt"/>
          <w:rFonts w:asciiTheme="minorHAnsi" w:hAnsiTheme="minorHAnsi"/>
          <w:iCs/>
          <w:sz w:val="22"/>
          <w:lang w:val="fr-FR"/>
        </w:rPr>
        <w:t>Protection des D</w:t>
      </w:r>
      <w:r w:rsidRPr="00E358A5">
        <w:rPr>
          <w:rStyle w:val="Style135pt"/>
          <w:rFonts w:asciiTheme="minorHAnsi" w:hAnsiTheme="minorHAnsi"/>
          <w:iCs/>
          <w:sz w:val="22"/>
          <w:lang w:val="fr-FR"/>
        </w:rPr>
        <w:t xml:space="preserve">onnées (ou </w:t>
      </w:r>
      <w:r w:rsidRPr="00E358A5">
        <w:rPr>
          <w:rStyle w:val="Style135pt"/>
          <w:rFonts w:asciiTheme="minorHAnsi" w:hAnsiTheme="minorHAnsi"/>
          <w:iCs/>
          <w:sz w:val="22"/>
        </w:rPr>
        <w:t>Data Protection Officer- DPO)</w:t>
      </w:r>
      <w:r w:rsidR="00891874">
        <w:rPr>
          <w:rStyle w:val="Style135pt"/>
          <w:rFonts w:asciiTheme="minorHAnsi" w:hAnsiTheme="minorHAnsi"/>
          <w:iCs/>
          <w:sz w:val="22"/>
        </w:rPr>
        <w:t xml:space="preserve"> : </w:t>
      </w:r>
    </w:p>
    <w:p w:rsidR="00891874" w:rsidRDefault="00891874" w:rsidP="00E358A5">
      <w:pPr>
        <w:jc w:val="both"/>
        <w:rPr>
          <w:rStyle w:val="Style135pt"/>
          <w:rFonts w:asciiTheme="minorHAnsi" w:hAnsiTheme="minorHAnsi"/>
          <w:iCs/>
          <w:sz w:val="22"/>
        </w:rPr>
      </w:pPr>
    </w:p>
    <w:p w:rsidR="00CC1C72" w:rsidRDefault="00CC1C72" w:rsidP="00E358A5">
      <w:pPr>
        <w:jc w:val="both"/>
        <w:rPr>
          <w:rStyle w:val="Style135pt"/>
          <w:rFonts w:asciiTheme="minorHAnsi" w:hAnsiTheme="minorHAnsi"/>
          <w:iCs/>
          <w:sz w:val="22"/>
        </w:rPr>
      </w:pPr>
      <w:r w:rsidRPr="00CC1C72">
        <w:rPr>
          <w:rStyle w:val="Style135pt"/>
          <w:rFonts w:asciiTheme="minorHAnsi" w:hAnsiTheme="minorHAnsi"/>
          <w:iCs/>
          <w:sz w:val="22"/>
          <w:u w:val="single"/>
        </w:rPr>
        <w:t>R</w:t>
      </w:r>
      <w:r w:rsidRPr="00CC1C72">
        <w:rPr>
          <w:rStyle w:val="Style135pt"/>
          <w:rFonts w:asciiTheme="minorHAnsi" w:hAnsiTheme="minorHAnsi"/>
          <w:iCs/>
          <w:sz w:val="22"/>
          <w:u w:val="single"/>
        </w:rPr>
        <w:t>esponsable du traitement</w:t>
      </w:r>
      <w:r>
        <w:rPr>
          <w:rStyle w:val="Style135pt"/>
          <w:rFonts w:asciiTheme="minorHAnsi" w:hAnsiTheme="minorHAnsi"/>
          <w:iCs/>
          <w:sz w:val="22"/>
        </w:rPr>
        <w:t> : Collège communal de Burdinne, rue des Ecoles 3 à 4210 Burdinne.</w:t>
      </w:r>
    </w:p>
    <w:p w:rsidR="00CC1C72" w:rsidRDefault="00CC1C72" w:rsidP="00E358A5">
      <w:pPr>
        <w:jc w:val="both"/>
        <w:rPr>
          <w:rStyle w:val="Style135pt"/>
          <w:rFonts w:asciiTheme="minorHAnsi" w:hAnsiTheme="minorHAnsi"/>
          <w:iCs/>
          <w:sz w:val="22"/>
        </w:rPr>
      </w:pPr>
    </w:p>
    <w:p w:rsidR="00CC1C72" w:rsidRDefault="00CC1C72" w:rsidP="00E358A5">
      <w:pPr>
        <w:jc w:val="both"/>
        <w:rPr>
          <w:rStyle w:val="Style135pt"/>
          <w:rFonts w:asciiTheme="minorHAnsi" w:hAnsiTheme="minorHAnsi"/>
          <w:iCs/>
          <w:sz w:val="22"/>
        </w:rPr>
      </w:pPr>
      <w:r w:rsidRPr="00CC1C72">
        <w:rPr>
          <w:rStyle w:val="Style135pt"/>
          <w:rFonts w:asciiTheme="minorHAnsi" w:hAnsiTheme="minorHAnsi"/>
          <w:iCs/>
          <w:sz w:val="22"/>
          <w:u w:val="single"/>
          <w:lang w:val="fr-FR"/>
        </w:rPr>
        <w:t>Délégué à la Protection des D</w:t>
      </w:r>
      <w:r w:rsidRPr="00CC1C72">
        <w:rPr>
          <w:rStyle w:val="Style135pt"/>
          <w:rFonts w:asciiTheme="minorHAnsi" w:hAnsiTheme="minorHAnsi"/>
          <w:iCs/>
          <w:sz w:val="22"/>
          <w:u w:val="single"/>
          <w:lang w:val="fr-FR"/>
        </w:rPr>
        <w:t>onnées</w:t>
      </w:r>
      <w:r>
        <w:rPr>
          <w:rStyle w:val="Style135pt"/>
          <w:rFonts w:asciiTheme="minorHAnsi" w:hAnsiTheme="minorHAnsi"/>
          <w:iCs/>
          <w:sz w:val="22"/>
        </w:rPr>
        <w:t> :</w:t>
      </w:r>
    </w:p>
    <w:p w:rsidR="00891874" w:rsidRDefault="00891874" w:rsidP="00CC1C72">
      <w:pPr>
        <w:jc w:val="both"/>
        <w:rPr>
          <w:rStyle w:val="Style135pt"/>
          <w:rFonts w:asciiTheme="minorHAnsi" w:hAnsiTheme="minorHAnsi"/>
          <w:iCs/>
          <w:sz w:val="22"/>
        </w:rPr>
      </w:pPr>
      <w:r>
        <w:rPr>
          <w:rStyle w:val="Style135pt"/>
          <w:rFonts w:asciiTheme="minorHAnsi" w:hAnsiTheme="minorHAnsi"/>
          <w:iCs/>
          <w:sz w:val="22"/>
        </w:rPr>
        <w:t>Monsieur Sorin Lazarescu</w:t>
      </w:r>
      <w:r w:rsidR="00CC1C72">
        <w:rPr>
          <w:rStyle w:val="Style135pt"/>
          <w:rFonts w:asciiTheme="minorHAnsi" w:hAnsiTheme="minorHAnsi"/>
          <w:iCs/>
          <w:sz w:val="22"/>
        </w:rPr>
        <w:t xml:space="preserve">, joignable </w:t>
      </w:r>
      <w:r w:rsidRPr="00E358A5">
        <w:rPr>
          <w:rStyle w:val="Style135pt"/>
          <w:rFonts w:asciiTheme="minorHAnsi" w:hAnsiTheme="minorHAnsi"/>
          <w:iCs/>
          <w:sz w:val="22"/>
        </w:rPr>
        <w:t>via courriel à l’adresse suiva</w:t>
      </w:r>
      <w:r w:rsidRPr="00CC1C72">
        <w:rPr>
          <w:rStyle w:val="Style135pt"/>
          <w:rFonts w:asciiTheme="minorHAnsi" w:hAnsiTheme="minorHAnsi"/>
          <w:iCs/>
          <w:sz w:val="22"/>
        </w:rPr>
        <w:t xml:space="preserve">nte :  </w:t>
      </w:r>
      <w:hyperlink r:id="rId13" w:history="1">
        <w:r w:rsidR="00CC1C72" w:rsidRPr="00CC1C72">
          <w:rPr>
            <w:rStyle w:val="Lienhypertexte"/>
            <w:rFonts w:asciiTheme="minorHAnsi" w:hAnsiTheme="minorHAnsi"/>
          </w:rPr>
          <w:t>dpd@dpd12.be</w:t>
        </w:r>
      </w:hyperlink>
      <w:r w:rsidR="00CC1C72" w:rsidRPr="00CC1C72">
        <w:rPr>
          <w:rFonts w:asciiTheme="minorHAnsi" w:hAnsiTheme="minorHAnsi"/>
          <w:color w:val="1F497D"/>
        </w:rPr>
        <w:t xml:space="preserve"> </w:t>
      </w:r>
      <w:r w:rsidR="00E358A5" w:rsidRPr="00CC1C72">
        <w:rPr>
          <w:rStyle w:val="Style135pt"/>
          <w:rFonts w:asciiTheme="minorHAnsi" w:hAnsiTheme="minorHAnsi"/>
          <w:iCs/>
          <w:sz w:val="22"/>
        </w:rPr>
        <w:t>ou à l’adresse postale suivante :</w:t>
      </w:r>
      <w:r w:rsidR="00CC1C72">
        <w:rPr>
          <w:rStyle w:val="Style135pt"/>
          <w:rFonts w:asciiTheme="minorHAnsi" w:hAnsiTheme="minorHAnsi"/>
          <w:iCs/>
          <w:sz w:val="22"/>
        </w:rPr>
        <w:t xml:space="preserve"> </w:t>
      </w:r>
      <w:r w:rsidR="00CC1C72">
        <w:rPr>
          <w:rStyle w:val="Style135pt"/>
          <w:rFonts w:asciiTheme="minorHAnsi" w:hAnsiTheme="minorHAnsi"/>
          <w:iCs/>
          <w:sz w:val="22"/>
        </w:rPr>
        <w:t>rue des Ecoles 3 à 4210 Burdinne</w:t>
      </w:r>
    </w:p>
    <w:p w:rsidR="00CC1C72" w:rsidRDefault="00CC1C72" w:rsidP="00891874">
      <w:pPr>
        <w:jc w:val="both"/>
        <w:rPr>
          <w:rStyle w:val="Style135pt"/>
          <w:rFonts w:asciiTheme="minorHAnsi" w:hAnsiTheme="minorHAnsi"/>
          <w:iCs/>
          <w:sz w:val="22"/>
        </w:rPr>
      </w:pPr>
    </w:p>
    <w:p w:rsidR="00E358A5" w:rsidRPr="00E358A5" w:rsidRDefault="00E358A5" w:rsidP="00E358A5">
      <w:pPr>
        <w:jc w:val="both"/>
        <w:rPr>
          <w:rStyle w:val="Style135pt"/>
          <w:rFonts w:asciiTheme="minorHAnsi" w:hAnsiTheme="minorHAnsi"/>
          <w:iCs/>
          <w:sz w:val="22"/>
          <w:lang w:val="fr-FR"/>
        </w:rPr>
      </w:pPr>
    </w:p>
    <w:p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w:t>
      </w:r>
      <w:bookmarkStart w:id="14" w:name="_GoBack"/>
      <w:bookmarkEnd w:id="14"/>
      <w:r w:rsidRPr="00E358A5">
        <w:rPr>
          <w:rStyle w:val="Style135pt"/>
          <w:rFonts w:asciiTheme="minorHAnsi" w:hAnsiTheme="minorHAnsi"/>
          <w:iCs/>
          <w:sz w:val="22"/>
          <w:lang w:val="fr-FR"/>
        </w:rPr>
        <w:t xml:space="preserve">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4"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sectPr w:rsidR="00E358A5" w:rsidRPr="00E358A5" w:rsidSect="0053442D">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64B" w:rsidRDefault="00C4364B" w:rsidP="0075737F">
      <w:r>
        <w:separator/>
      </w:r>
    </w:p>
  </w:endnote>
  <w:endnote w:type="continuationSeparator" w:id="0">
    <w:p w:rsidR="00C4364B" w:rsidRDefault="00C4364B"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sidR="00CC1C72">
          <w:rPr>
            <w:noProof/>
          </w:rPr>
          <w:t>9</w:t>
        </w:r>
        <w:r>
          <w:rPr>
            <w:noProof/>
          </w:rPr>
          <w:fldChar w:fldCharType="end"/>
        </w:r>
      </w:p>
    </w:sdtContent>
  </w:sdt>
  <w:p w:rsidR="00117F10" w:rsidRDefault="00117F10">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64B" w:rsidRDefault="00C4364B" w:rsidP="0075737F">
      <w:r>
        <w:separator/>
      </w:r>
    </w:p>
  </w:footnote>
  <w:footnote w:type="continuationSeparator" w:id="0">
    <w:p w:rsidR="00C4364B" w:rsidRDefault="00C4364B"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7F10" w:rsidRDefault="00117F10" w:rsidP="0075737F">
    <w:pPr>
      <w:pStyle w:val="En-tte"/>
      <w:jc w:val="right"/>
    </w:pPr>
    <w:r>
      <w:t>Annexe 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31AA" w:rsidRDefault="001E31A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75737F"/>
    <w:rsid w:val="00000BEE"/>
    <w:rsid w:val="00012903"/>
    <w:rsid w:val="000159E9"/>
    <w:rsid w:val="00022517"/>
    <w:rsid w:val="0003531E"/>
    <w:rsid w:val="00045C77"/>
    <w:rsid w:val="00050815"/>
    <w:rsid w:val="000576CE"/>
    <w:rsid w:val="00066B72"/>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67630"/>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45E6C"/>
    <w:rsid w:val="00854321"/>
    <w:rsid w:val="00854EEA"/>
    <w:rsid w:val="00856B1B"/>
    <w:rsid w:val="00856CCC"/>
    <w:rsid w:val="00874225"/>
    <w:rsid w:val="008821D7"/>
    <w:rsid w:val="00891874"/>
    <w:rsid w:val="00896936"/>
    <w:rsid w:val="00896D80"/>
    <w:rsid w:val="008A1AD4"/>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1C72"/>
    <w:rsid w:val="00CC4B4A"/>
    <w:rsid w:val="00CD0A6E"/>
    <w:rsid w:val="00CE3373"/>
    <w:rsid w:val="00CE6065"/>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45A89"/>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42865134">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 w:id="211701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d@dpd12.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wallonie.be/demarches/tout/protection-des-donnees-personnell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spw.wallonie.be" TargetMode="External"/><Relationship Id="rId5" Type="http://schemas.openxmlformats.org/officeDocument/2006/relationships/webSettings" Target="webSetting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hyperlink" Target="http://www.wallonie.be/fr/formulaire/detail/138958"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rchionweb.be" TargetMode="Externa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746DC9-0F1B-4E3F-BD68-BBB8E7E43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13</Pages>
  <Words>4096</Words>
  <Characters>22534</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Thibaut MORTIER</cp:lastModifiedBy>
  <cp:revision>26</cp:revision>
  <cp:lastPrinted>2019-11-14T10:07:00Z</cp:lastPrinted>
  <dcterms:created xsi:type="dcterms:W3CDTF">2019-02-20T15:31:00Z</dcterms:created>
  <dcterms:modified xsi:type="dcterms:W3CDTF">2019-11-28T12:40:00Z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