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30" w:rsidRPr="004F3F69" w:rsidRDefault="00102B30" w:rsidP="00E34D9D">
      <w:pPr>
        <w:framePr w:w="8752" w:h="0" w:hSpace="141" w:wrap="around" w:vAnchor="text" w:hAnchor="page" w:x="1942" w:y="595"/>
        <w:jc w:val="center"/>
        <w:rPr>
          <w:rFonts w:ascii="Century Gothic" w:hAnsi="Century Gothic"/>
          <w:b/>
          <w:sz w:val="28"/>
        </w:rPr>
      </w:pPr>
      <w:r w:rsidRPr="004F3F69">
        <w:rPr>
          <w:rFonts w:ascii="Century Gothic" w:hAnsi="Century Gothic"/>
          <w:b/>
          <w:sz w:val="28"/>
        </w:rPr>
        <w:t xml:space="preserve">Commission consultative communale </w:t>
      </w:r>
    </w:p>
    <w:p w:rsidR="00102B30" w:rsidRPr="004F3F69" w:rsidRDefault="00102B30" w:rsidP="00E34D9D">
      <w:pPr>
        <w:framePr w:w="8752" w:h="0" w:hSpace="141" w:wrap="around" w:vAnchor="text" w:hAnchor="page" w:x="1942" w:y="595"/>
        <w:jc w:val="center"/>
        <w:rPr>
          <w:rFonts w:ascii="Century Gothic" w:hAnsi="Century Gothic"/>
          <w:b/>
          <w:sz w:val="28"/>
        </w:rPr>
      </w:pPr>
      <w:r w:rsidRPr="004F3F69">
        <w:rPr>
          <w:rFonts w:ascii="Century Gothic" w:hAnsi="Century Gothic"/>
          <w:b/>
          <w:sz w:val="28"/>
        </w:rPr>
        <w:t>d’aménagement du territoi</w:t>
      </w:r>
      <w:r w:rsidR="00E34D9D">
        <w:rPr>
          <w:rFonts w:ascii="Century Gothic" w:hAnsi="Century Gothic"/>
          <w:b/>
          <w:sz w:val="28"/>
        </w:rPr>
        <w:t>re et de mobilité (C.C.A.T.M.)</w:t>
      </w:r>
    </w:p>
    <w:p w:rsidR="00E34D9D" w:rsidRDefault="00102B30" w:rsidP="00E34D9D">
      <w:pPr>
        <w:framePr w:w="8752" w:h="0" w:hSpace="141" w:wrap="around" w:vAnchor="text" w:hAnchor="page" w:x="1942" w:y="595"/>
        <w:jc w:val="center"/>
        <w:rPr>
          <w:rFonts w:ascii="Century Gothic" w:hAnsi="Century Gothic"/>
          <w:b/>
          <w:sz w:val="28"/>
        </w:rPr>
      </w:pPr>
      <w:r w:rsidRPr="004F3F69">
        <w:rPr>
          <w:rFonts w:ascii="Century Gothic" w:hAnsi="Century Gothic"/>
          <w:b/>
          <w:sz w:val="28"/>
        </w:rPr>
        <w:t xml:space="preserve"> </w:t>
      </w:r>
    </w:p>
    <w:p w:rsidR="0002674B" w:rsidRDefault="0002674B" w:rsidP="00E34D9D">
      <w:pPr>
        <w:framePr w:w="8752" w:h="0" w:hSpace="141" w:wrap="around" w:vAnchor="text" w:hAnchor="page" w:x="1942" w:y="595"/>
        <w:jc w:val="center"/>
        <w:rPr>
          <w:rFonts w:ascii="Century Gothic" w:hAnsi="Century Gothic"/>
          <w:b/>
          <w:sz w:val="28"/>
          <w:u w:val="single"/>
        </w:rPr>
      </w:pPr>
    </w:p>
    <w:p w:rsidR="00102B30" w:rsidRPr="00E34D9D" w:rsidRDefault="00102B30" w:rsidP="00E34D9D">
      <w:pPr>
        <w:framePr w:w="8752" w:h="0" w:hSpace="141" w:wrap="around" w:vAnchor="text" w:hAnchor="page" w:x="1942" w:y="595"/>
        <w:jc w:val="center"/>
        <w:rPr>
          <w:rFonts w:ascii="Century Gothic" w:hAnsi="Century Gothic"/>
          <w:b/>
          <w:sz w:val="28"/>
          <w:u w:val="single"/>
        </w:rPr>
      </w:pPr>
      <w:r w:rsidRPr="00E34D9D">
        <w:rPr>
          <w:rFonts w:ascii="Century Gothic" w:hAnsi="Century Gothic"/>
          <w:b/>
          <w:sz w:val="28"/>
          <w:u w:val="single"/>
        </w:rPr>
        <w:t>REGLEMENT D'ORDRE INTERIEUR-TYPE</w:t>
      </w:r>
    </w:p>
    <w:p w:rsidR="00102B30" w:rsidRPr="00F50D55" w:rsidRDefault="00F50D55">
      <w:pPr>
        <w:rPr>
          <w:rFonts w:ascii="Century Gothic" w:hAnsi="Century Gothic"/>
        </w:rPr>
      </w:pPr>
      <w:r w:rsidRPr="00F50D55">
        <w:rPr>
          <w:rFonts w:ascii="Century Gothic" w:hAnsi="Century Gothic"/>
        </w:rPr>
        <w:t>Annexe 3</w:t>
      </w:r>
    </w:p>
    <w:p w:rsidR="00E34D9D" w:rsidRDefault="00102B30">
      <w:pPr>
        <w:rPr>
          <w:rFonts w:ascii="Century Gothic" w:hAnsi="Century Gothic"/>
          <w:sz w:val="24"/>
        </w:rPr>
      </w:pPr>
      <w:r w:rsidRPr="004F3F69">
        <w:rPr>
          <w:rFonts w:ascii="Century Gothic" w:hAnsi="Century Gothic"/>
          <w:sz w:val="24"/>
        </w:rPr>
        <w:tab/>
      </w:r>
    </w:p>
    <w:p w:rsidR="00102B30" w:rsidRPr="004F3F69" w:rsidRDefault="00102B30">
      <w:pPr>
        <w:rPr>
          <w:rFonts w:ascii="Century Gothic" w:hAnsi="Century Gothic"/>
          <w:sz w:val="24"/>
        </w:rPr>
      </w:pPr>
      <w:r w:rsidRPr="004F3F69">
        <w:rPr>
          <w:rFonts w:ascii="Century Gothic" w:hAnsi="Century Gothic"/>
          <w:sz w:val="24"/>
        </w:rPr>
        <w:tab/>
      </w:r>
      <w:r w:rsidRPr="004F3F69">
        <w:rPr>
          <w:rFonts w:ascii="Century Gothic" w:hAnsi="Century Gothic"/>
          <w:sz w:val="24"/>
        </w:rPr>
        <w:tab/>
      </w:r>
    </w:p>
    <w:tbl>
      <w:tblPr>
        <w:tblW w:w="9426" w:type="dxa"/>
        <w:tblLayout w:type="fixed"/>
        <w:tblCellMar>
          <w:left w:w="70" w:type="dxa"/>
          <w:right w:w="70" w:type="dxa"/>
        </w:tblCellMar>
        <w:tblLook w:val="0000"/>
      </w:tblPr>
      <w:tblGrid>
        <w:gridCol w:w="9426"/>
      </w:tblGrid>
      <w:tr w:rsidR="00097658" w:rsidRPr="004F3F69" w:rsidTr="001A7B67">
        <w:tc>
          <w:tcPr>
            <w:tcW w:w="9426" w:type="dxa"/>
          </w:tcPr>
          <w:p w:rsidR="00097658" w:rsidRPr="00403A83" w:rsidRDefault="00097658">
            <w:pPr>
              <w:jc w:val="both"/>
              <w:rPr>
                <w:rFonts w:ascii="Century Gothic" w:hAnsi="Century Gothic"/>
                <w:sz w:val="24"/>
              </w:rPr>
            </w:pPr>
            <w:r w:rsidRPr="00403A83">
              <w:rPr>
                <w:rFonts w:ascii="Century Gothic" w:hAnsi="Century Gothic"/>
                <w:b/>
                <w:sz w:val="24"/>
                <w:u w:val="single"/>
              </w:rPr>
              <w:t>Article 1</w:t>
            </w:r>
            <w:r w:rsidRPr="00403A83">
              <w:rPr>
                <w:rFonts w:ascii="Century Gothic" w:hAnsi="Century Gothic"/>
                <w:b/>
                <w:sz w:val="24"/>
                <w:u w:val="single"/>
                <w:vertAlign w:val="superscript"/>
              </w:rPr>
              <w:t>er</w:t>
            </w:r>
            <w:r w:rsidRPr="00403A83">
              <w:rPr>
                <w:rFonts w:ascii="Century Gothic" w:hAnsi="Century Gothic"/>
                <w:b/>
                <w:sz w:val="24"/>
                <w:u w:val="single"/>
              </w:rPr>
              <w:t xml:space="preserve">  - Référence légale</w:t>
            </w:r>
            <w:r w:rsidRPr="00403A83">
              <w:rPr>
                <w:rFonts w:ascii="Century Gothic" w:hAnsi="Century Gothic"/>
                <w:sz w:val="24"/>
              </w:rPr>
              <w:t xml:space="preserve"> </w:t>
            </w:r>
          </w:p>
          <w:p w:rsidR="00D84025" w:rsidRPr="00403A83" w:rsidRDefault="00D84025">
            <w:pPr>
              <w:jc w:val="both"/>
              <w:rPr>
                <w:rFonts w:ascii="Century Gothic" w:hAnsi="Century Gothic"/>
                <w:sz w:val="24"/>
              </w:rPr>
            </w:pPr>
          </w:p>
          <w:p w:rsidR="00097658" w:rsidRPr="00403A83" w:rsidRDefault="00097658" w:rsidP="005452AF">
            <w:pPr>
              <w:jc w:val="both"/>
              <w:rPr>
                <w:rFonts w:ascii="Century Gothic" w:hAnsi="Century Gothic"/>
                <w:sz w:val="24"/>
              </w:rPr>
            </w:pPr>
            <w:r w:rsidRPr="00403A83">
              <w:rPr>
                <w:rFonts w:ascii="Century Gothic" w:hAnsi="Century Gothic"/>
                <w:sz w:val="24"/>
              </w:rPr>
              <w:t xml:space="preserve">L'appel aux candidatures et la composition de la commission, se conforment aux dispositions </w:t>
            </w:r>
            <w:r w:rsidR="007C2277" w:rsidRPr="00403A83">
              <w:rPr>
                <w:rFonts w:ascii="Century Gothic" w:hAnsi="Century Gothic"/>
                <w:sz w:val="24"/>
              </w:rPr>
              <w:t>visées aux</w:t>
            </w:r>
            <w:r w:rsidRPr="00403A83">
              <w:rPr>
                <w:rFonts w:ascii="Century Gothic" w:hAnsi="Century Gothic"/>
                <w:sz w:val="24"/>
              </w:rPr>
              <w:t xml:space="preserve"> articles D.I.7 à D.I.10 et R.I.10-1 à R.I.10-5</w:t>
            </w:r>
            <w:r w:rsidR="005454F7">
              <w:rPr>
                <w:rFonts w:ascii="Century Gothic" w:hAnsi="Century Gothic"/>
                <w:sz w:val="24"/>
              </w:rPr>
              <w:t>, du Code</w:t>
            </w:r>
            <w:r w:rsidR="00E34D9D">
              <w:rPr>
                <w:rFonts w:ascii="Century Gothic" w:hAnsi="Century Gothic"/>
                <w:sz w:val="24"/>
              </w:rPr>
              <w:t xml:space="preserve"> du Développement T</w:t>
            </w:r>
            <w:r w:rsidRPr="00403A83">
              <w:rPr>
                <w:rFonts w:ascii="Century Gothic" w:hAnsi="Century Gothic"/>
                <w:sz w:val="24"/>
              </w:rPr>
              <w:t>erritorial</w:t>
            </w:r>
            <w:r w:rsidR="001A65DF">
              <w:rPr>
                <w:rFonts w:ascii="Century Gothic" w:hAnsi="Century Gothic"/>
                <w:sz w:val="24"/>
              </w:rPr>
              <w:t xml:space="preserve"> (ci-après CoDT)</w:t>
            </w:r>
            <w:r w:rsidR="005D1201">
              <w:rPr>
                <w:rFonts w:ascii="Century Gothic" w:hAnsi="Century Gothic"/>
                <w:sz w:val="24"/>
              </w:rPr>
              <w:t>.</w:t>
            </w:r>
          </w:p>
          <w:p w:rsidR="00D84025" w:rsidRPr="00403A83" w:rsidRDefault="00D84025" w:rsidP="005452AF">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sz w:val="24"/>
                <w:u w:val="single"/>
              </w:rPr>
            </w:pPr>
            <w:r w:rsidRPr="00403A83">
              <w:rPr>
                <w:rFonts w:ascii="Century Gothic" w:hAnsi="Century Gothic"/>
                <w:b/>
                <w:sz w:val="24"/>
                <w:u w:val="single"/>
              </w:rPr>
              <w:t>Art. 2 – Composition</w:t>
            </w:r>
            <w:r w:rsidRPr="00403A83">
              <w:rPr>
                <w:rFonts w:ascii="Century Gothic" w:hAnsi="Century Gothic"/>
                <w:sz w:val="24"/>
                <w:u w:val="single"/>
              </w:rPr>
              <w:t xml:space="preserve"> </w:t>
            </w:r>
          </w:p>
          <w:p w:rsidR="00D84025" w:rsidRPr="00403A83" w:rsidRDefault="00D84025">
            <w:pPr>
              <w:jc w:val="both"/>
              <w:rPr>
                <w:rFonts w:ascii="Century Gothic" w:hAnsi="Century Gothic"/>
                <w:sz w:val="24"/>
                <w:u w:val="single"/>
              </w:rPr>
            </w:pPr>
          </w:p>
          <w:p w:rsidR="00097658" w:rsidRPr="00403A83" w:rsidRDefault="00097658">
            <w:pPr>
              <w:jc w:val="both"/>
              <w:rPr>
                <w:rFonts w:ascii="Century Gothic" w:hAnsi="Century Gothic"/>
                <w:sz w:val="24"/>
              </w:rPr>
            </w:pPr>
            <w:r w:rsidRPr="00403A83">
              <w:rPr>
                <w:rFonts w:ascii="Century Gothic" w:hAnsi="Century Gothic"/>
                <w:sz w:val="24"/>
              </w:rPr>
              <w:t>Le conseil communal choisit le président et les membres, hors quart communal, parmi les personnes ayant fait acte de candidature, su</w:t>
            </w:r>
            <w:r w:rsidR="00E34D9D">
              <w:rPr>
                <w:rFonts w:ascii="Century Gothic" w:hAnsi="Century Gothic"/>
                <w:sz w:val="24"/>
              </w:rPr>
              <w:t xml:space="preserve">ivant les critères visés aux </w:t>
            </w:r>
            <w:r w:rsidRPr="00403A83">
              <w:rPr>
                <w:rFonts w:ascii="Century Gothic" w:hAnsi="Century Gothic"/>
                <w:sz w:val="24"/>
              </w:rPr>
              <w:t>article</w:t>
            </w:r>
            <w:r w:rsidR="00E34D9D">
              <w:rPr>
                <w:rFonts w:ascii="Century Gothic" w:hAnsi="Century Gothic"/>
                <w:sz w:val="24"/>
              </w:rPr>
              <w:t>s</w:t>
            </w:r>
            <w:r w:rsidRPr="00403A83">
              <w:rPr>
                <w:rFonts w:ascii="Century Gothic" w:hAnsi="Century Gothic"/>
                <w:sz w:val="24"/>
              </w:rPr>
              <w:t xml:space="preserve"> D.I.10</w:t>
            </w:r>
            <w:r w:rsidR="001A65DF">
              <w:rPr>
                <w:rFonts w:ascii="Century Gothic" w:hAnsi="Century Gothic"/>
                <w:sz w:val="24"/>
              </w:rPr>
              <w:t>,</w:t>
            </w:r>
            <w:r w:rsidRPr="00403A83">
              <w:rPr>
                <w:rFonts w:ascii="Century Gothic" w:hAnsi="Century Gothic"/>
                <w:sz w:val="24"/>
              </w:rPr>
              <w:t xml:space="preserve"> §1</w:t>
            </w:r>
            <w:r w:rsidRPr="00403A83">
              <w:rPr>
                <w:rFonts w:ascii="Century Gothic" w:hAnsi="Century Gothic"/>
                <w:sz w:val="24"/>
                <w:vertAlign w:val="superscript"/>
              </w:rPr>
              <w:t>er</w:t>
            </w:r>
            <w:r w:rsidR="001A65DF">
              <w:rPr>
                <w:rFonts w:ascii="Century Gothic" w:hAnsi="Century Gothic"/>
                <w:sz w:val="24"/>
              </w:rPr>
              <w:t xml:space="preserve"> et R.I.10-3 </w:t>
            </w:r>
            <w:r w:rsidRPr="00403A83">
              <w:rPr>
                <w:rFonts w:ascii="Century Gothic" w:hAnsi="Century Gothic"/>
                <w:sz w:val="24"/>
              </w:rPr>
              <w:t>du CoDT.</w:t>
            </w:r>
          </w:p>
          <w:p w:rsidR="00403A83" w:rsidRPr="00403A83" w:rsidRDefault="00403A83">
            <w:pPr>
              <w:jc w:val="both"/>
              <w:rPr>
                <w:rFonts w:ascii="Century Gothic" w:hAnsi="Century Gothic"/>
                <w:sz w:val="24"/>
              </w:rPr>
            </w:pPr>
          </w:p>
          <w:p w:rsidR="00097658" w:rsidRPr="00403A83" w:rsidRDefault="001A65DF">
            <w:pPr>
              <w:jc w:val="both"/>
              <w:rPr>
                <w:rFonts w:ascii="Century Gothic" w:hAnsi="Century Gothic"/>
                <w:sz w:val="24"/>
                <w:szCs w:val="24"/>
              </w:rPr>
            </w:pPr>
            <w:r>
              <w:rPr>
                <w:rFonts w:ascii="Century Gothic" w:hAnsi="Century Gothic"/>
                <w:sz w:val="24"/>
                <w:szCs w:val="24"/>
              </w:rPr>
              <w:t>L</w:t>
            </w:r>
            <w:r w:rsidR="00097658" w:rsidRPr="00403A83">
              <w:rPr>
                <w:rFonts w:ascii="Century Gothic" w:hAnsi="Century Gothic"/>
                <w:sz w:val="24"/>
                <w:szCs w:val="24"/>
              </w:rPr>
              <w:t>e président ne peut être désigné parmi les membres du conseil communal.</w:t>
            </w:r>
          </w:p>
          <w:p w:rsidR="00097658" w:rsidRPr="00403A83" w:rsidRDefault="00097658">
            <w:pPr>
              <w:jc w:val="both"/>
              <w:rPr>
                <w:rFonts w:ascii="Century Gothic" w:hAnsi="Century Gothic"/>
                <w:sz w:val="24"/>
                <w:szCs w:val="24"/>
              </w:rPr>
            </w:pPr>
          </w:p>
          <w:p w:rsidR="00097658" w:rsidRPr="00403A83" w:rsidRDefault="00097658">
            <w:pPr>
              <w:jc w:val="both"/>
              <w:rPr>
                <w:rFonts w:ascii="Century Gothic" w:hAnsi="Century Gothic"/>
                <w:sz w:val="24"/>
                <w:szCs w:val="24"/>
              </w:rPr>
            </w:pPr>
            <w:r w:rsidRPr="00403A83">
              <w:rPr>
                <w:rFonts w:ascii="Century Gothic" w:hAnsi="Century Gothic"/>
                <w:sz w:val="24"/>
                <w:szCs w:val="24"/>
              </w:rPr>
              <w:t>Le président sera désigné en fonction des ses compétences ou s</w:t>
            </w:r>
            <w:r w:rsidR="00E34D9D">
              <w:rPr>
                <w:rFonts w:ascii="Century Gothic" w:hAnsi="Century Gothic"/>
                <w:sz w:val="24"/>
                <w:szCs w:val="24"/>
              </w:rPr>
              <w:t>ur base d’expérience en matière</w:t>
            </w:r>
            <w:r w:rsidRPr="00403A83">
              <w:rPr>
                <w:rFonts w:ascii="Century Gothic" w:hAnsi="Century Gothic"/>
                <w:sz w:val="24"/>
                <w:szCs w:val="24"/>
              </w:rPr>
              <w:t xml:space="preserve"> d’aménagement du territoire et </w:t>
            </w:r>
            <w:r w:rsidR="001A65DF">
              <w:rPr>
                <w:rFonts w:ascii="Century Gothic" w:hAnsi="Century Gothic"/>
                <w:sz w:val="24"/>
                <w:szCs w:val="24"/>
              </w:rPr>
              <w:t>d’</w:t>
            </w:r>
            <w:r w:rsidRPr="00403A83">
              <w:rPr>
                <w:rFonts w:ascii="Century Gothic" w:hAnsi="Century Gothic"/>
                <w:sz w:val="24"/>
                <w:szCs w:val="24"/>
              </w:rPr>
              <w:t>urbanisme</w:t>
            </w:r>
            <w:r w:rsidR="00E34D9D">
              <w:rPr>
                <w:rFonts w:ascii="Century Gothic" w:hAnsi="Century Gothic"/>
                <w:sz w:val="24"/>
                <w:szCs w:val="24"/>
              </w:rPr>
              <w:t>.</w:t>
            </w:r>
          </w:p>
          <w:p w:rsidR="00097658" w:rsidRPr="00403A83" w:rsidRDefault="00097658">
            <w:pPr>
              <w:jc w:val="both"/>
              <w:rPr>
                <w:rFonts w:ascii="Century Gothic" w:hAnsi="Century Gothic"/>
                <w:sz w:val="24"/>
              </w:rPr>
            </w:pPr>
          </w:p>
          <w:p w:rsidR="00097658" w:rsidRDefault="00097658">
            <w:pPr>
              <w:jc w:val="both"/>
              <w:rPr>
                <w:rFonts w:ascii="Century Gothic" w:hAnsi="Century Gothic"/>
                <w:sz w:val="24"/>
              </w:rPr>
            </w:pPr>
            <w:r w:rsidRPr="00E34D9D">
              <w:rPr>
                <w:rFonts w:ascii="Century Gothic" w:hAnsi="Century Gothic"/>
                <w:sz w:val="24"/>
              </w:rPr>
              <w:t>En cas d’absence du président, c’est un vice-président, choisi par la commission parmi ses membres effectifs lors d’un vote à bulletin secret, qui préside la séance.</w:t>
            </w:r>
          </w:p>
          <w:p w:rsidR="001A65DF" w:rsidRPr="00403A83" w:rsidRDefault="001A65DF">
            <w:pPr>
              <w:jc w:val="both"/>
              <w:rPr>
                <w:rFonts w:ascii="Century Gothic" w:hAnsi="Century Gothic"/>
                <w:sz w:val="24"/>
              </w:rPr>
            </w:pPr>
          </w:p>
          <w:p w:rsidR="00097658" w:rsidRDefault="001A65DF">
            <w:pPr>
              <w:jc w:val="both"/>
              <w:rPr>
                <w:rFonts w:ascii="Century Gothic" w:hAnsi="Century Gothic"/>
                <w:sz w:val="24"/>
              </w:rPr>
            </w:pPr>
            <w:r>
              <w:rPr>
                <w:rFonts w:ascii="Century Gothic" w:hAnsi="Century Gothic"/>
                <w:sz w:val="24"/>
              </w:rPr>
              <w:t>Les membres de la commission communale restent en fonction jusqu’à l’installation des membres qui leur succèdent</w:t>
            </w:r>
            <w:r w:rsidR="005D1201">
              <w:rPr>
                <w:rFonts w:ascii="Century Gothic" w:hAnsi="Century Gothic"/>
                <w:sz w:val="24"/>
              </w:rPr>
              <w:t>.</w:t>
            </w:r>
          </w:p>
          <w:p w:rsidR="001A65DF" w:rsidRPr="00403A83" w:rsidRDefault="001A65DF">
            <w:pPr>
              <w:jc w:val="both"/>
              <w:rPr>
                <w:rFonts w:ascii="Century Gothic" w:hAnsi="Century Gothic"/>
                <w:sz w:val="24"/>
              </w:rPr>
            </w:pPr>
          </w:p>
          <w:p w:rsidR="00097658" w:rsidRDefault="00097658">
            <w:pPr>
              <w:jc w:val="both"/>
              <w:rPr>
                <w:rFonts w:ascii="Century Gothic" w:hAnsi="Century Gothic"/>
                <w:sz w:val="24"/>
              </w:rPr>
            </w:pPr>
            <w:r w:rsidRPr="00403A83">
              <w:rPr>
                <w:rFonts w:ascii="Century Gothic" w:hAnsi="Century Gothic"/>
                <w:sz w:val="24"/>
              </w:rPr>
              <w:t xml:space="preserve">Le </w:t>
            </w:r>
            <w:r w:rsidRPr="008B4375">
              <w:rPr>
                <w:rFonts w:ascii="Century Gothic" w:hAnsi="Century Gothic"/>
                <w:sz w:val="24"/>
              </w:rPr>
              <w:t>ou les membres du collège communal ayant l’aménagement du territoire, l’urbanisme et la mobilité dans</w:t>
            </w:r>
            <w:r w:rsidRPr="00403A83">
              <w:rPr>
                <w:rFonts w:ascii="Century Gothic" w:hAnsi="Century Gothic"/>
                <w:sz w:val="24"/>
              </w:rPr>
              <w:t xml:space="preserve"> ses attributions ainsi que le conseiller en aménagement du territoire et urbanisme ne sont pas membres de la commission ; ils y siègent avec voix consultative.</w:t>
            </w:r>
          </w:p>
          <w:p w:rsidR="00097658" w:rsidRPr="00403A83" w:rsidRDefault="00097658">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b/>
                <w:sz w:val="24"/>
                <w:u w:val="single"/>
              </w:rPr>
            </w:pPr>
            <w:r w:rsidRPr="00403A83">
              <w:rPr>
                <w:rFonts w:ascii="Century Gothic" w:hAnsi="Century Gothic"/>
                <w:b/>
                <w:sz w:val="24"/>
                <w:u w:val="single"/>
              </w:rPr>
              <w:t>Art. 3 – Secrétariat</w:t>
            </w:r>
          </w:p>
          <w:p w:rsidR="00D84025" w:rsidRPr="00403A83" w:rsidRDefault="00D84025">
            <w:pPr>
              <w:jc w:val="both"/>
              <w:rPr>
                <w:rFonts w:ascii="Century Gothic" w:hAnsi="Century Gothic"/>
                <w:b/>
                <w:sz w:val="24"/>
                <w:u w:val="single"/>
              </w:rPr>
            </w:pPr>
          </w:p>
          <w:p w:rsidR="00097658" w:rsidRDefault="00097658">
            <w:pPr>
              <w:pStyle w:val="Corpsdetexte"/>
              <w:rPr>
                <w:rFonts w:ascii="Century Gothic" w:hAnsi="Century Gothic"/>
              </w:rPr>
            </w:pPr>
            <w:r w:rsidRPr="00403A83">
              <w:rPr>
                <w:rFonts w:ascii="Century Gothic" w:hAnsi="Century Gothic"/>
              </w:rPr>
              <w:t>Le collège communal désigne, parmi les services de l’administration communale, la personne qui assure le secrétariat de la commission.</w:t>
            </w:r>
          </w:p>
          <w:p w:rsidR="00E34D9D" w:rsidRPr="00403A83" w:rsidRDefault="00E34D9D">
            <w:pPr>
              <w:pStyle w:val="Corpsdetexte"/>
              <w:rPr>
                <w:rFonts w:ascii="Century Gothic" w:hAnsi="Century Gothic"/>
              </w:rPr>
            </w:pPr>
          </w:p>
          <w:p w:rsidR="00097658" w:rsidRPr="00403A83" w:rsidRDefault="00097658">
            <w:pPr>
              <w:pStyle w:val="Corpsdetexte"/>
              <w:rPr>
                <w:rFonts w:ascii="Century Gothic" w:hAnsi="Century Gothic"/>
              </w:rPr>
            </w:pPr>
            <w:r w:rsidRPr="00403A83">
              <w:rPr>
                <w:rFonts w:ascii="Century Gothic" w:hAnsi="Century Gothic"/>
              </w:rPr>
              <w:t>Le secrétaire n’est ni président, ni membre effectif, ni suppléant de la commission.  Il n’a ni droit de vote, ni voix consultative.</w:t>
            </w:r>
          </w:p>
          <w:p w:rsidR="00097658" w:rsidRPr="00403A83" w:rsidRDefault="00097658">
            <w:pPr>
              <w:pStyle w:val="Corpsdetexte"/>
              <w:rPr>
                <w:rFonts w:ascii="Century Gothic" w:hAnsi="Century Gothic"/>
              </w:rPr>
            </w:pPr>
          </w:p>
          <w:p w:rsidR="00097658" w:rsidRDefault="00097658">
            <w:pPr>
              <w:pStyle w:val="Corpsdetexte"/>
              <w:rPr>
                <w:rFonts w:ascii="Century Gothic" w:hAnsi="Century Gothic"/>
              </w:rPr>
            </w:pPr>
            <w:r w:rsidRPr="00403A83">
              <w:rPr>
                <w:rFonts w:ascii="Century Gothic" w:hAnsi="Century Gothic"/>
              </w:rPr>
              <w:t xml:space="preserve">Toutefois, lorsque le collège communal désigne comme secrétaire de la </w:t>
            </w:r>
            <w:r w:rsidRPr="00403A83">
              <w:rPr>
                <w:rFonts w:ascii="Century Gothic" w:hAnsi="Century Gothic"/>
              </w:rPr>
              <w:lastRenderedPageBreak/>
              <w:t>commission le conseiller</w:t>
            </w:r>
            <w:r w:rsidR="007827A5" w:rsidRPr="00403A83">
              <w:rPr>
                <w:rFonts w:ascii="Century Gothic" w:hAnsi="Century Gothic"/>
              </w:rPr>
              <w:t xml:space="preserve"> en aménagement du territoire et urbanisme,</w:t>
            </w:r>
            <w:r w:rsidRPr="00403A83">
              <w:rPr>
                <w:rFonts w:ascii="Century Gothic" w:hAnsi="Century Gothic"/>
              </w:rPr>
              <w:t xml:space="preserve"> le secrétaire siège à la commission avec voix consultative, conformément à l’article R.I.10-3</w:t>
            </w:r>
            <w:r w:rsidR="005D1201">
              <w:rPr>
                <w:rFonts w:ascii="Century Gothic" w:hAnsi="Century Gothic"/>
              </w:rPr>
              <w:t>,</w:t>
            </w:r>
            <w:r w:rsidR="005D1201" w:rsidRPr="00403A83">
              <w:rPr>
                <w:rFonts w:ascii="Century Gothic" w:hAnsi="Century Gothic"/>
              </w:rPr>
              <w:t xml:space="preserve"> §</w:t>
            </w:r>
            <w:r w:rsidRPr="00403A83">
              <w:rPr>
                <w:rFonts w:ascii="Century Gothic" w:hAnsi="Century Gothic"/>
              </w:rPr>
              <w:t>5</w:t>
            </w:r>
            <w:r w:rsidR="005454F7">
              <w:rPr>
                <w:rFonts w:ascii="Century Gothic" w:hAnsi="Century Gothic"/>
              </w:rPr>
              <w:t>, du CoDT.</w:t>
            </w:r>
          </w:p>
          <w:p w:rsidR="00FD0109" w:rsidRDefault="00FD0109">
            <w:pPr>
              <w:pStyle w:val="Corpsdetexte"/>
              <w:rPr>
                <w:rFonts w:ascii="Century Gothic" w:hAnsi="Century Gothic"/>
              </w:rPr>
            </w:pPr>
          </w:p>
          <w:p w:rsidR="00FD0109" w:rsidRPr="00FD0109" w:rsidRDefault="00FD0109" w:rsidP="00FD0109">
            <w:pPr>
              <w:spacing w:line="240" w:lineRule="atLeast"/>
              <w:jc w:val="both"/>
              <w:rPr>
                <w:rFonts w:ascii="Century Gothic" w:hAnsi="Century Gothic" w:cs="Arial"/>
                <w:sz w:val="24"/>
                <w:szCs w:val="24"/>
              </w:rPr>
            </w:pPr>
            <w:r w:rsidRPr="00FD0109">
              <w:rPr>
                <w:rFonts w:ascii="Century Gothic" w:hAnsi="Century Gothic" w:cs="Arial"/>
                <w:sz w:val="24"/>
                <w:szCs w:val="24"/>
              </w:rPr>
              <w:t xml:space="preserve">Le conseiller en aménagement du territoire et urbanisme donne au président et aux membres de la Commission toutes les informations techniques et légales nécessaires afin que ceux-ci puissent délibérer efficacement. </w:t>
            </w:r>
          </w:p>
          <w:p w:rsidR="00097658" w:rsidRPr="00403A83" w:rsidRDefault="00097658">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sz w:val="24"/>
              </w:rPr>
            </w:pPr>
            <w:r w:rsidRPr="00403A83">
              <w:rPr>
                <w:rFonts w:ascii="Century Gothic" w:hAnsi="Century Gothic"/>
                <w:b/>
                <w:sz w:val="24"/>
                <w:u w:val="single"/>
              </w:rPr>
              <w:lastRenderedPageBreak/>
              <w:t>Art. 4  - Domiciliation</w:t>
            </w:r>
            <w:r w:rsidRPr="00403A83">
              <w:rPr>
                <w:rFonts w:ascii="Century Gothic" w:hAnsi="Century Gothic"/>
                <w:sz w:val="24"/>
              </w:rPr>
              <w:t xml:space="preserve"> </w:t>
            </w:r>
          </w:p>
          <w:p w:rsidR="00D84025" w:rsidRPr="00403A83" w:rsidRDefault="00D84025">
            <w:pPr>
              <w:jc w:val="both"/>
              <w:rPr>
                <w:rFonts w:ascii="Century Gothic" w:hAnsi="Century Gothic"/>
                <w:sz w:val="24"/>
              </w:rPr>
            </w:pPr>
          </w:p>
          <w:p w:rsidR="00097658" w:rsidRDefault="00097658">
            <w:pPr>
              <w:jc w:val="both"/>
              <w:rPr>
                <w:rFonts w:ascii="Century Gothic" w:hAnsi="Century Gothic"/>
                <w:sz w:val="24"/>
              </w:rPr>
            </w:pPr>
            <w:r w:rsidRPr="00403A83">
              <w:rPr>
                <w:rFonts w:ascii="Century Gothic" w:hAnsi="Century Gothic"/>
                <w:sz w:val="24"/>
              </w:rPr>
              <w:t xml:space="preserve">Le président, les membres effectifs et les suppléants sont domiciliés dans la </w:t>
            </w:r>
            <w:r w:rsidR="001A65DF">
              <w:rPr>
                <w:rFonts w:ascii="Century Gothic" w:hAnsi="Century Gothic"/>
                <w:sz w:val="24"/>
              </w:rPr>
              <w:t xml:space="preserve">commune. </w:t>
            </w:r>
            <w:r w:rsidR="004A669B">
              <w:rPr>
                <w:rFonts w:ascii="Century Gothic" w:hAnsi="Century Gothic"/>
                <w:sz w:val="24"/>
              </w:rPr>
              <w:t>Si le président ou un membre est mandaté pour représenter une association, le président ou le membre est domicilié dans la commune ou l</w:t>
            </w:r>
            <w:r w:rsidR="001A65DF">
              <w:rPr>
                <w:rFonts w:ascii="Century Gothic" w:hAnsi="Century Gothic"/>
                <w:sz w:val="24"/>
              </w:rPr>
              <w:t>e</w:t>
            </w:r>
            <w:r w:rsidRPr="00403A83">
              <w:rPr>
                <w:rFonts w:ascii="Century Gothic" w:hAnsi="Century Gothic"/>
                <w:sz w:val="24"/>
              </w:rPr>
              <w:t xml:space="preserve"> siège social de l’association que le </w:t>
            </w:r>
            <w:r w:rsidR="004A669B">
              <w:rPr>
                <w:rFonts w:ascii="Century Gothic" w:hAnsi="Century Gothic"/>
                <w:sz w:val="24"/>
              </w:rPr>
              <w:t xml:space="preserve">président ou le </w:t>
            </w:r>
            <w:r w:rsidRPr="00403A83">
              <w:rPr>
                <w:rFonts w:ascii="Century Gothic" w:hAnsi="Century Gothic"/>
                <w:sz w:val="24"/>
              </w:rPr>
              <w:t xml:space="preserve">membre représente est </w:t>
            </w:r>
            <w:r w:rsidR="007C2277" w:rsidRPr="00403A83">
              <w:rPr>
                <w:rFonts w:ascii="Century Gothic" w:hAnsi="Century Gothic"/>
                <w:sz w:val="24"/>
              </w:rPr>
              <w:t>situé</w:t>
            </w:r>
            <w:r w:rsidRPr="00403A83">
              <w:rPr>
                <w:rFonts w:ascii="Century Gothic" w:hAnsi="Century Gothic"/>
                <w:sz w:val="24"/>
              </w:rPr>
              <w:t xml:space="preserve"> dans la commune.</w:t>
            </w:r>
          </w:p>
          <w:p w:rsidR="00E34D9D" w:rsidRPr="00403A83" w:rsidRDefault="00E34D9D">
            <w:pPr>
              <w:jc w:val="both"/>
              <w:rPr>
                <w:rFonts w:ascii="Century Gothic" w:hAnsi="Century Gothic"/>
                <w:sz w:val="24"/>
              </w:rPr>
            </w:pPr>
          </w:p>
          <w:p w:rsidR="00097658" w:rsidRPr="00403A83" w:rsidRDefault="00097658" w:rsidP="00C03043">
            <w:pPr>
              <w:jc w:val="both"/>
              <w:rPr>
                <w:rFonts w:ascii="Century Gothic" w:hAnsi="Century Gothic"/>
                <w:sz w:val="24"/>
              </w:rPr>
            </w:pPr>
            <w:r w:rsidRPr="00403A83">
              <w:rPr>
                <w:rFonts w:ascii="Century Gothic" w:hAnsi="Century Gothic"/>
                <w:sz w:val="24"/>
              </w:rPr>
              <w:t xml:space="preserve">Lorsque le </w:t>
            </w:r>
            <w:r w:rsidR="004A669B">
              <w:rPr>
                <w:rFonts w:ascii="Century Gothic" w:hAnsi="Century Gothic"/>
                <w:sz w:val="24"/>
              </w:rPr>
              <w:t xml:space="preserve">président ou </w:t>
            </w:r>
            <w:r w:rsidR="006D3DD6">
              <w:rPr>
                <w:rFonts w:ascii="Century Gothic" w:hAnsi="Century Gothic"/>
                <w:sz w:val="24"/>
              </w:rPr>
              <w:t xml:space="preserve">le </w:t>
            </w:r>
            <w:r w:rsidRPr="00403A83">
              <w:rPr>
                <w:rFonts w:ascii="Century Gothic" w:hAnsi="Century Gothic"/>
                <w:sz w:val="24"/>
              </w:rPr>
              <w:t>membre ne remplit plus la condition de domiciliation imposée, il est réputé démissionnaire de plein droit.</w:t>
            </w:r>
          </w:p>
          <w:p w:rsidR="007C2277" w:rsidRPr="00403A83" w:rsidRDefault="007C2277" w:rsidP="00C03043">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sz w:val="24"/>
              </w:rPr>
            </w:pPr>
            <w:r w:rsidRPr="00403A83">
              <w:rPr>
                <w:rFonts w:ascii="Century Gothic" w:hAnsi="Century Gothic"/>
                <w:b/>
                <w:sz w:val="24"/>
                <w:u w:val="single"/>
              </w:rPr>
              <w:t>Art. 5 – Vacance d’un mandat</w:t>
            </w:r>
            <w:r w:rsidRPr="00403A83">
              <w:rPr>
                <w:rFonts w:ascii="Century Gothic" w:hAnsi="Century Gothic"/>
                <w:sz w:val="24"/>
              </w:rPr>
              <w:t xml:space="preserve"> </w:t>
            </w:r>
          </w:p>
          <w:p w:rsidR="00D84025" w:rsidRPr="00403A83" w:rsidRDefault="00D84025">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La proposition de mettre fin prématurément à un mandat se fonde sur un des motifs suivants</w:t>
            </w:r>
            <w:r w:rsidR="00E34D9D">
              <w:rPr>
                <w:rFonts w:ascii="Century Gothic" w:hAnsi="Century Gothic"/>
                <w:sz w:val="24"/>
              </w:rPr>
              <w:t xml:space="preserve"> </w:t>
            </w:r>
            <w:r w:rsidRPr="00403A83">
              <w:rPr>
                <w:rFonts w:ascii="Century Gothic" w:hAnsi="Century Gothic"/>
                <w:sz w:val="24"/>
              </w:rPr>
              <w:t xml:space="preserve">: décès ou démission d'un membre, situation incompatible avec le mandat occupé, absence de manière consécutive et non justifiée à plus de la moitié des réunions annuelles imposées par le présent règlement, </w:t>
            </w:r>
            <w:r w:rsidR="007827A5" w:rsidRPr="00403A83">
              <w:rPr>
                <w:rFonts w:ascii="Century Gothic" w:hAnsi="Century Gothic"/>
                <w:sz w:val="24"/>
              </w:rPr>
              <w:t xml:space="preserve">non-domiciliation dans la commune, </w:t>
            </w:r>
            <w:r w:rsidRPr="00403A83">
              <w:rPr>
                <w:rFonts w:ascii="Century Gothic" w:hAnsi="Century Gothic"/>
                <w:sz w:val="24"/>
              </w:rPr>
              <w:t>inconduite notoire ou manquement grave aux devoirs de sa charge.</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Si le mandat de président devient vacant</w:t>
            </w:r>
            <w:r w:rsidR="00E34D9D">
              <w:rPr>
                <w:rFonts w:ascii="Century Gothic" w:hAnsi="Century Gothic"/>
                <w:sz w:val="24"/>
              </w:rPr>
              <w:t>,</w:t>
            </w:r>
            <w:r w:rsidRPr="00403A83">
              <w:rPr>
                <w:rFonts w:ascii="Century Gothic" w:hAnsi="Century Gothic"/>
                <w:sz w:val="24"/>
              </w:rPr>
              <w:t xml:space="preserve"> le conseil communal choisit un nouveau président parmi les membres de la commission.</w:t>
            </w:r>
          </w:p>
          <w:p w:rsidR="00097658" w:rsidRPr="00403A83" w:rsidRDefault="00097658">
            <w:pPr>
              <w:jc w:val="both"/>
              <w:rPr>
                <w:rFonts w:ascii="Century Gothic" w:hAnsi="Century Gothic"/>
                <w:sz w:val="24"/>
              </w:rPr>
            </w:pPr>
          </w:p>
          <w:p w:rsidR="00097658" w:rsidRPr="00403A83" w:rsidRDefault="00FD7E77">
            <w:pPr>
              <w:jc w:val="both"/>
              <w:rPr>
                <w:rFonts w:ascii="Century Gothic" w:hAnsi="Century Gothic"/>
                <w:sz w:val="24"/>
              </w:rPr>
            </w:pPr>
            <w:r>
              <w:rPr>
                <w:rFonts w:ascii="Century Gothic" w:hAnsi="Century Gothic"/>
                <w:sz w:val="24"/>
              </w:rPr>
              <w:t>Si</w:t>
            </w:r>
            <w:r w:rsidR="00097658" w:rsidRPr="00403A83">
              <w:rPr>
                <w:rFonts w:ascii="Century Gothic" w:hAnsi="Century Gothic"/>
                <w:sz w:val="24"/>
              </w:rPr>
              <w:t xml:space="preserve"> le mandat d’un membre effectif devient vacant, le membre suppléant l’occupe.</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Si le mandat d’un membre suppléant</w:t>
            </w:r>
            <w:r w:rsidR="007827A5" w:rsidRPr="00403A83">
              <w:rPr>
                <w:rFonts w:ascii="Century Gothic" w:hAnsi="Century Gothic"/>
                <w:sz w:val="24"/>
              </w:rPr>
              <w:t xml:space="preserve"> devient vacant</w:t>
            </w:r>
            <w:r w:rsidRPr="00403A83">
              <w:rPr>
                <w:rFonts w:ascii="Century Gothic" w:hAnsi="Century Gothic"/>
                <w:sz w:val="24"/>
              </w:rPr>
              <w:t xml:space="preserve">, le conseil communal désigne un nouveau membre suppléant parmi les candidats présentant un intérêt similaire et repris dans la réserve. </w:t>
            </w:r>
          </w:p>
          <w:p w:rsidR="00097658" w:rsidRPr="00403A83" w:rsidRDefault="00097658">
            <w:pPr>
              <w:jc w:val="both"/>
              <w:rPr>
                <w:rFonts w:ascii="Century Gothic" w:hAnsi="Century Gothic"/>
                <w:sz w:val="24"/>
              </w:rPr>
            </w:pPr>
          </w:p>
          <w:p w:rsidR="00097658" w:rsidRDefault="00097658">
            <w:pPr>
              <w:jc w:val="both"/>
              <w:rPr>
                <w:rFonts w:ascii="Century Gothic" w:hAnsi="Century Gothic"/>
                <w:sz w:val="24"/>
              </w:rPr>
            </w:pPr>
            <w:r w:rsidRPr="00403A83">
              <w:rPr>
                <w:rFonts w:ascii="Century Gothic" w:hAnsi="Century Gothic"/>
                <w:sz w:val="24"/>
              </w:rPr>
              <w:t>Lorsque la réserve est épuisée ou lorsqu’un intérêt n’est plus représenté, le conseil procède au renouvellement partiel de la commission communale.</w:t>
            </w:r>
            <w:r w:rsidR="005F7351" w:rsidRPr="00403A83">
              <w:rPr>
                <w:rFonts w:ascii="Century Gothic" w:hAnsi="Century Gothic"/>
                <w:sz w:val="24"/>
              </w:rPr>
              <w:t xml:space="preserve"> </w:t>
            </w:r>
            <w:r w:rsidRPr="00403A83">
              <w:rPr>
                <w:rFonts w:ascii="Century Gothic" w:hAnsi="Century Gothic"/>
                <w:sz w:val="24"/>
              </w:rPr>
              <w:t xml:space="preserve"> Les modalités prévues pour l’établissement ou le renouvellement intégral de la commission sont d’application.</w:t>
            </w:r>
          </w:p>
          <w:p w:rsidR="00FD0109" w:rsidRDefault="00FD0109">
            <w:pPr>
              <w:jc w:val="both"/>
              <w:rPr>
                <w:rFonts w:ascii="Century Gothic" w:hAnsi="Century Gothic"/>
                <w:sz w:val="24"/>
              </w:rPr>
            </w:pPr>
          </w:p>
          <w:p w:rsidR="00FD0109" w:rsidRPr="00403A83" w:rsidRDefault="00FD0109">
            <w:pPr>
              <w:jc w:val="both"/>
              <w:rPr>
                <w:rFonts w:ascii="Century Gothic" w:hAnsi="Century Gothic"/>
                <w:sz w:val="24"/>
              </w:rPr>
            </w:pPr>
            <w:r>
              <w:rPr>
                <w:rFonts w:ascii="Century Gothic" w:hAnsi="Century Gothic"/>
                <w:sz w:val="24"/>
              </w:rPr>
              <w:t xml:space="preserve">Les modifications intervenues dans la composition en cours de mandature ne sont pas sanctionnées par un arrêté ministériel. Toutefois, les délibérations actant toute modification seront </w:t>
            </w:r>
            <w:r w:rsidRPr="0064682E">
              <w:rPr>
                <w:rFonts w:ascii="Century Gothic" w:hAnsi="Century Gothic"/>
                <w:sz w:val="24"/>
              </w:rPr>
              <w:t>transmise</w:t>
            </w:r>
            <w:r w:rsidR="0064682E">
              <w:rPr>
                <w:rFonts w:ascii="Century Gothic" w:hAnsi="Century Gothic"/>
                <w:sz w:val="24"/>
              </w:rPr>
              <w:t>s</w:t>
            </w:r>
            <w:r w:rsidRPr="0064682E">
              <w:rPr>
                <w:rFonts w:ascii="Century Gothic" w:hAnsi="Century Gothic"/>
                <w:sz w:val="24"/>
              </w:rPr>
              <w:t xml:space="preserve"> à la</w:t>
            </w:r>
            <w:r>
              <w:rPr>
                <w:rFonts w:ascii="Century Gothic" w:hAnsi="Century Gothic"/>
                <w:sz w:val="24"/>
              </w:rPr>
              <w:t xml:space="preserve"> DGO4</w:t>
            </w:r>
            <w:r w:rsidR="00E34D9D">
              <w:rPr>
                <w:rFonts w:ascii="Century Gothic" w:hAnsi="Century Gothic"/>
                <w:sz w:val="24"/>
              </w:rPr>
              <w:t>,</w:t>
            </w:r>
            <w:r>
              <w:rPr>
                <w:rFonts w:ascii="Century Gothic" w:hAnsi="Century Gothic"/>
                <w:sz w:val="24"/>
              </w:rPr>
              <w:t xml:space="preserve"> pour information</w:t>
            </w:r>
            <w:r w:rsidR="00E34D9D">
              <w:rPr>
                <w:rFonts w:ascii="Century Gothic" w:hAnsi="Century Gothic"/>
                <w:sz w:val="24"/>
              </w:rPr>
              <w:t>,</w:t>
            </w:r>
            <w:r>
              <w:rPr>
                <w:rFonts w:ascii="Century Gothic" w:hAnsi="Century Gothic"/>
                <w:sz w:val="24"/>
              </w:rPr>
              <w:t xml:space="preserve"> lors de la demande d’octroi de la subvention de fonctionnement.</w:t>
            </w:r>
          </w:p>
          <w:p w:rsidR="00097658" w:rsidRPr="00403A83" w:rsidRDefault="00097658" w:rsidP="00D06A70">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sz w:val="24"/>
              </w:rPr>
            </w:pPr>
            <w:r w:rsidRPr="00403A83">
              <w:rPr>
                <w:rFonts w:ascii="Century Gothic" w:hAnsi="Century Gothic"/>
                <w:b/>
                <w:sz w:val="24"/>
                <w:u w:val="single"/>
              </w:rPr>
              <w:lastRenderedPageBreak/>
              <w:t>Art. 6 -  Compétences</w:t>
            </w:r>
            <w:r w:rsidRPr="00403A83">
              <w:rPr>
                <w:rFonts w:ascii="Century Gothic" w:hAnsi="Century Gothic"/>
                <w:sz w:val="24"/>
              </w:rPr>
              <w:t xml:space="preserve"> </w:t>
            </w:r>
          </w:p>
          <w:p w:rsidR="00D84025" w:rsidRPr="00403A83" w:rsidRDefault="00D84025">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Outre les missions définies dans le CoDT et dans la législation relative aux études d'incidences, la commission rend des avis au conseil communal et au collège communal sur toutes les questions qui lui sont soumises.</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La commission peut aussi, d'initiative, rendre des avis au conseil communal ou au collège communal sur l'évolution des idées et des principes en matière d'aménagement du territoire, d'urbanisme, de patrimoine et de mobilité, ainsi que sur les enjeux et les objectifs du développement territorial local.</w:t>
            </w:r>
          </w:p>
          <w:p w:rsidR="005F7351" w:rsidRPr="00403A83" w:rsidRDefault="005F7351">
            <w:pPr>
              <w:jc w:val="both"/>
              <w:rPr>
                <w:rFonts w:ascii="Century Gothic" w:hAnsi="Century Gothic"/>
                <w:sz w:val="24"/>
              </w:rPr>
            </w:pPr>
          </w:p>
        </w:tc>
      </w:tr>
      <w:tr w:rsidR="00097658" w:rsidRPr="004F3F69" w:rsidTr="001A7B67">
        <w:tc>
          <w:tcPr>
            <w:tcW w:w="9426" w:type="dxa"/>
          </w:tcPr>
          <w:p w:rsidR="00097658" w:rsidRPr="00403A83" w:rsidRDefault="00097658">
            <w:pPr>
              <w:pStyle w:val="Titre2"/>
              <w:rPr>
                <w:rFonts w:ascii="Century Gothic" w:hAnsi="Century Gothic"/>
                <w:i w:val="0"/>
              </w:rPr>
            </w:pPr>
            <w:r w:rsidRPr="00403A83">
              <w:rPr>
                <w:rFonts w:ascii="Century Gothic" w:hAnsi="Century Gothic"/>
                <w:i w:val="0"/>
              </w:rPr>
              <w:t>Art. 7 – Confidentialité – Code de bonne conduite</w:t>
            </w:r>
          </w:p>
          <w:p w:rsidR="00D84025" w:rsidRPr="00403A83" w:rsidRDefault="00D84025" w:rsidP="00D84025"/>
          <w:p w:rsidR="00097658" w:rsidRPr="00403A83" w:rsidRDefault="00097658">
            <w:pPr>
              <w:jc w:val="both"/>
              <w:rPr>
                <w:rFonts w:ascii="Century Gothic" w:hAnsi="Century Gothic"/>
                <w:sz w:val="24"/>
              </w:rPr>
            </w:pPr>
            <w:r w:rsidRPr="00403A83">
              <w:rPr>
                <w:rFonts w:ascii="Century Gothic" w:hAnsi="Century Gothic"/>
                <w:sz w:val="24"/>
              </w:rPr>
              <w:t>Le président et tout membre de la commission sont tenus à la confidentialité des données personnelles des dossiers dont ils ont la connaissance ainsi que des débats et des votes de la commission.</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En cas de confit d’intérêt, le président ou le membre quitte la séance de la commission pour le point à débattre et pour le vote</w:t>
            </w:r>
            <w:r w:rsidR="005F7351" w:rsidRPr="00403A83">
              <w:rPr>
                <w:rFonts w:ascii="Century Gothic" w:hAnsi="Century Gothic"/>
                <w:sz w:val="24"/>
              </w:rPr>
              <w:t>.</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Après décision du conseil communal ou du collège communal sur les dossiers soumi</w:t>
            </w:r>
            <w:r w:rsidR="001A65DF">
              <w:rPr>
                <w:rFonts w:ascii="Century Gothic" w:hAnsi="Century Gothic"/>
                <w:sz w:val="24"/>
              </w:rPr>
              <w:t>s à l’avis de la commission, l’a</w:t>
            </w:r>
            <w:r w:rsidRPr="00403A83">
              <w:rPr>
                <w:rFonts w:ascii="Century Gothic" w:hAnsi="Century Gothic"/>
                <w:sz w:val="24"/>
              </w:rPr>
              <w:t xml:space="preserve">utorité </w:t>
            </w:r>
            <w:r w:rsidR="001A65DF">
              <w:rPr>
                <w:rFonts w:ascii="Century Gothic" w:hAnsi="Century Gothic"/>
                <w:sz w:val="24"/>
              </w:rPr>
              <w:t xml:space="preserve">communale en informe la Commission et </w:t>
            </w:r>
            <w:r w:rsidRPr="00403A83">
              <w:rPr>
                <w:rFonts w:ascii="Century Gothic" w:hAnsi="Century Gothic"/>
                <w:sz w:val="24"/>
              </w:rPr>
              <w:t>assure la publicité</w:t>
            </w:r>
            <w:r w:rsidR="00FC1EDF">
              <w:rPr>
                <w:rFonts w:ascii="Century Gothic" w:hAnsi="Century Gothic"/>
                <w:sz w:val="24"/>
              </w:rPr>
              <w:t xml:space="preserve"> des </w:t>
            </w:r>
            <w:r w:rsidRPr="00403A83">
              <w:rPr>
                <w:rFonts w:ascii="Century Gothic" w:hAnsi="Century Gothic"/>
                <w:sz w:val="24"/>
              </w:rPr>
              <w:t xml:space="preserve"> avis de la commission.</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En cas d’inconduite notoire d’un membre ou de manquement grave à un devoir de sa charge, le président de la commission en informe le conseil communal qui</w:t>
            </w:r>
            <w:r w:rsidR="001A65DF">
              <w:rPr>
                <w:rFonts w:ascii="Century Gothic" w:hAnsi="Century Gothic"/>
                <w:sz w:val="24"/>
              </w:rPr>
              <w:t xml:space="preserve">, après avoir permis au membre en cause de faire valoir ses moyens de défense, </w:t>
            </w:r>
            <w:r w:rsidRPr="00403A83">
              <w:rPr>
                <w:rFonts w:ascii="Century Gothic" w:hAnsi="Century Gothic"/>
                <w:sz w:val="24"/>
              </w:rPr>
              <w:t xml:space="preserve"> peut proposer d’en acter la suspension ou la révocation.</w:t>
            </w:r>
          </w:p>
          <w:p w:rsidR="00097658" w:rsidRPr="00403A83" w:rsidRDefault="00097658">
            <w:pPr>
              <w:jc w:val="both"/>
              <w:rPr>
                <w:rFonts w:ascii="Century Gothic" w:hAnsi="Century Gothic"/>
                <w:sz w:val="24"/>
              </w:rPr>
            </w:pPr>
          </w:p>
        </w:tc>
      </w:tr>
      <w:tr w:rsidR="00097658" w:rsidRPr="004F3F69" w:rsidTr="001A7B67">
        <w:trPr>
          <w:trHeight w:val="1912"/>
        </w:trPr>
        <w:tc>
          <w:tcPr>
            <w:tcW w:w="9426" w:type="dxa"/>
          </w:tcPr>
          <w:p w:rsidR="00097658" w:rsidRPr="00403A83" w:rsidRDefault="00097658">
            <w:pPr>
              <w:jc w:val="both"/>
              <w:rPr>
                <w:rFonts w:ascii="Century Gothic" w:hAnsi="Century Gothic"/>
                <w:b/>
                <w:sz w:val="24"/>
                <w:u w:val="single"/>
              </w:rPr>
            </w:pPr>
            <w:r w:rsidRPr="00403A83">
              <w:rPr>
                <w:rFonts w:ascii="Century Gothic" w:hAnsi="Century Gothic"/>
                <w:b/>
                <w:sz w:val="24"/>
                <w:u w:val="single"/>
              </w:rPr>
              <w:t>Art. 8 –  S</w:t>
            </w:r>
            <w:r w:rsidR="001A65DF">
              <w:rPr>
                <w:rFonts w:ascii="Century Gothic" w:hAnsi="Century Gothic"/>
                <w:b/>
                <w:sz w:val="24"/>
                <w:u w:val="single"/>
              </w:rPr>
              <w:t>ections</w:t>
            </w:r>
          </w:p>
          <w:p w:rsidR="00D84025" w:rsidRDefault="00D84025">
            <w:pPr>
              <w:jc w:val="both"/>
              <w:rPr>
                <w:rFonts w:ascii="Century Gothic" w:hAnsi="Century Gothic"/>
                <w:b/>
                <w:sz w:val="24"/>
                <w:u w:val="single"/>
              </w:rPr>
            </w:pPr>
          </w:p>
          <w:p w:rsidR="00FC1EDF" w:rsidRDefault="00FC1EDF">
            <w:pPr>
              <w:jc w:val="both"/>
              <w:rPr>
                <w:rFonts w:ascii="Century Gothic" w:hAnsi="Century Gothic"/>
                <w:sz w:val="24"/>
              </w:rPr>
            </w:pPr>
            <w:r w:rsidRPr="00FC1EDF">
              <w:rPr>
                <w:rFonts w:ascii="Century Gothic" w:hAnsi="Century Gothic"/>
                <w:sz w:val="24"/>
              </w:rPr>
              <w:t xml:space="preserve">Le </w:t>
            </w:r>
            <w:r w:rsidR="001E6B18">
              <w:rPr>
                <w:rFonts w:ascii="Century Gothic" w:hAnsi="Century Gothic"/>
                <w:sz w:val="24"/>
              </w:rPr>
              <w:t>c</w:t>
            </w:r>
            <w:r w:rsidRPr="00FC1EDF">
              <w:rPr>
                <w:rFonts w:ascii="Century Gothic" w:hAnsi="Century Gothic"/>
                <w:sz w:val="24"/>
              </w:rPr>
              <w:t>onseil communal peut diviser la Commission en sections. C</w:t>
            </w:r>
            <w:r w:rsidR="00FD7E77">
              <w:rPr>
                <w:rFonts w:ascii="Century Gothic" w:hAnsi="Century Gothic"/>
                <w:sz w:val="24"/>
              </w:rPr>
              <w:t xml:space="preserve">elles-ci sont approuvées par le </w:t>
            </w:r>
            <w:r w:rsidRPr="00FC1EDF">
              <w:rPr>
                <w:rFonts w:ascii="Century Gothic" w:hAnsi="Century Gothic"/>
                <w:sz w:val="24"/>
              </w:rPr>
              <w:t>Gouvernement lors de l’établissement ou du renouvellement de la</w:t>
            </w:r>
            <w:r w:rsidR="001E6B18">
              <w:rPr>
                <w:rFonts w:ascii="Century Gothic" w:hAnsi="Century Gothic"/>
                <w:sz w:val="24"/>
              </w:rPr>
              <w:t xml:space="preserve"> commission</w:t>
            </w:r>
            <w:r w:rsidRPr="00FC1EDF">
              <w:rPr>
                <w:rFonts w:ascii="Century Gothic" w:hAnsi="Century Gothic"/>
                <w:sz w:val="24"/>
              </w:rPr>
              <w:t>. </w:t>
            </w:r>
          </w:p>
          <w:p w:rsidR="00FC1EDF" w:rsidRPr="00FC1EDF" w:rsidRDefault="00FC1EDF">
            <w:pPr>
              <w:jc w:val="both"/>
              <w:rPr>
                <w:rFonts w:ascii="Century Gothic" w:hAnsi="Century Gothic"/>
                <w:sz w:val="24"/>
              </w:rPr>
            </w:pPr>
          </w:p>
          <w:p w:rsidR="00FC1EDF" w:rsidRDefault="00097658">
            <w:pPr>
              <w:jc w:val="both"/>
              <w:rPr>
                <w:rFonts w:ascii="Century Gothic" w:hAnsi="Century Gothic"/>
                <w:sz w:val="24"/>
              </w:rPr>
            </w:pPr>
            <w:r w:rsidRPr="00403A83">
              <w:rPr>
                <w:rFonts w:ascii="Century Gothic" w:hAnsi="Century Gothic"/>
                <w:sz w:val="24"/>
              </w:rPr>
              <w:t>La commission peut</w:t>
            </w:r>
            <w:r w:rsidR="00FC1EDF">
              <w:rPr>
                <w:rFonts w:ascii="Century Gothic" w:hAnsi="Century Gothic"/>
                <w:sz w:val="24"/>
              </w:rPr>
              <w:t xml:space="preserve"> également</w:t>
            </w:r>
            <w:r w:rsidRPr="00403A83">
              <w:rPr>
                <w:rFonts w:ascii="Century Gothic" w:hAnsi="Century Gothic"/>
                <w:sz w:val="24"/>
              </w:rPr>
              <w:t xml:space="preserve"> constituer des groupes de travail chargés notamment d’étudier des problèmes particuliers, de lui faire rapport et de préparer des avis.  </w:t>
            </w:r>
          </w:p>
          <w:p w:rsidR="000076FC" w:rsidRDefault="000076FC" w:rsidP="00960E91">
            <w:pPr>
              <w:jc w:val="both"/>
              <w:rPr>
                <w:rFonts w:ascii="Century Gothic" w:hAnsi="Century Gothic"/>
                <w:sz w:val="24"/>
              </w:rPr>
            </w:pPr>
          </w:p>
          <w:p w:rsidR="00097658" w:rsidRDefault="00FC1EDF" w:rsidP="00960E91">
            <w:pPr>
              <w:jc w:val="both"/>
              <w:rPr>
                <w:rFonts w:ascii="Century Gothic" w:hAnsi="Century Gothic"/>
                <w:sz w:val="24"/>
              </w:rPr>
            </w:pPr>
            <w:r>
              <w:rPr>
                <w:rFonts w:ascii="Century Gothic" w:hAnsi="Century Gothic"/>
                <w:sz w:val="24"/>
              </w:rPr>
              <w:t>Dans les deux cas, l</w:t>
            </w:r>
            <w:r w:rsidR="00097658" w:rsidRPr="00403A83">
              <w:rPr>
                <w:rFonts w:ascii="Century Gothic" w:hAnsi="Century Gothic"/>
                <w:sz w:val="24"/>
              </w:rPr>
              <w:t>’avis définitif est toutefois rendu par la commission.</w:t>
            </w:r>
          </w:p>
          <w:p w:rsidR="00960E91" w:rsidRDefault="00960E91" w:rsidP="00960E91">
            <w:pPr>
              <w:jc w:val="both"/>
              <w:rPr>
                <w:rFonts w:ascii="Century Gothic" w:hAnsi="Century Gothic"/>
                <w:sz w:val="24"/>
              </w:rPr>
            </w:pPr>
          </w:p>
          <w:p w:rsidR="00960E91" w:rsidRDefault="00960E91" w:rsidP="00960E91">
            <w:pPr>
              <w:jc w:val="both"/>
              <w:rPr>
                <w:rFonts w:ascii="Century Gothic" w:hAnsi="Century Gothic"/>
                <w:sz w:val="24"/>
              </w:rPr>
            </w:pPr>
          </w:p>
          <w:p w:rsidR="00960E91" w:rsidRPr="00403A83" w:rsidRDefault="00960E91" w:rsidP="00960E91">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b/>
                <w:sz w:val="24"/>
                <w:u w:val="single"/>
              </w:rPr>
            </w:pPr>
            <w:r w:rsidRPr="00403A83">
              <w:rPr>
                <w:rFonts w:ascii="Century Gothic" w:hAnsi="Century Gothic"/>
                <w:b/>
                <w:sz w:val="24"/>
                <w:u w:val="single"/>
              </w:rPr>
              <w:t>Art. 9  - Invités –Experts</w:t>
            </w:r>
          </w:p>
          <w:p w:rsidR="00D84025" w:rsidRPr="00403A83" w:rsidRDefault="00D84025">
            <w:pPr>
              <w:jc w:val="both"/>
              <w:rPr>
                <w:rFonts w:ascii="Century Gothic" w:hAnsi="Century Gothic"/>
                <w:b/>
                <w:sz w:val="24"/>
              </w:rPr>
            </w:pPr>
          </w:p>
          <w:p w:rsidR="00097658" w:rsidRPr="00403A83" w:rsidRDefault="00097658">
            <w:pPr>
              <w:pStyle w:val="Corpsdetexte"/>
              <w:rPr>
                <w:rFonts w:ascii="Century Gothic" w:hAnsi="Century Gothic"/>
              </w:rPr>
            </w:pPr>
            <w:r w:rsidRPr="00403A83">
              <w:rPr>
                <w:rFonts w:ascii="Century Gothic" w:hAnsi="Century Gothic"/>
              </w:rPr>
              <w:t xml:space="preserve">La commission peut, d’initiative, appeler en consultation des experts ou </w:t>
            </w:r>
            <w:r w:rsidRPr="00403A83">
              <w:rPr>
                <w:rFonts w:ascii="Century Gothic" w:hAnsi="Century Gothic"/>
              </w:rPr>
              <w:lastRenderedPageBreak/>
              <w:t>personnes particulièrement informés.</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Ceux-ci n’assistent qu’au point de l’ordre du jour pour lequel ils ont été invités.</w:t>
            </w:r>
            <w:r w:rsidR="005F7351" w:rsidRPr="00403A83">
              <w:rPr>
                <w:rFonts w:ascii="Century Gothic" w:hAnsi="Century Gothic"/>
                <w:sz w:val="24"/>
              </w:rPr>
              <w:t xml:space="preserve">  </w:t>
            </w:r>
            <w:r w:rsidRPr="00403A83">
              <w:rPr>
                <w:rFonts w:ascii="Century Gothic" w:hAnsi="Century Gothic"/>
                <w:sz w:val="24"/>
              </w:rPr>
              <w:t xml:space="preserve">  Ils n’ont pas droit de vote.  Les frais éventuels occasionnés par l’expertise font l’objet d’un</w:t>
            </w:r>
            <w:r w:rsidR="000076FC">
              <w:rPr>
                <w:rFonts w:ascii="Century Gothic" w:hAnsi="Century Gothic"/>
                <w:sz w:val="24"/>
              </w:rPr>
              <w:t xml:space="preserve"> accord préalable du collège communal</w:t>
            </w:r>
            <w:r w:rsidRPr="00403A83">
              <w:rPr>
                <w:rFonts w:ascii="Century Gothic" w:hAnsi="Century Gothic"/>
                <w:sz w:val="24"/>
              </w:rPr>
              <w:t>.</w:t>
            </w:r>
          </w:p>
          <w:p w:rsidR="00097658" w:rsidRPr="00403A83" w:rsidRDefault="00097658">
            <w:pPr>
              <w:jc w:val="both"/>
              <w:rPr>
                <w:rFonts w:ascii="Century Gothic" w:hAnsi="Century Gothic"/>
                <w:sz w:val="24"/>
              </w:rPr>
            </w:pPr>
          </w:p>
          <w:p w:rsidR="00097658" w:rsidRPr="00403A83" w:rsidRDefault="00097658">
            <w:pPr>
              <w:pStyle w:val="Corpsdetexte3"/>
              <w:rPr>
                <w:rFonts w:ascii="Century Gothic" w:hAnsi="Century Gothic"/>
                <w:i w:val="0"/>
              </w:rPr>
            </w:pPr>
            <w:r w:rsidRPr="00403A83">
              <w:rPr>
                <w:rFonts w:ascii="Century Gothic" w:hAnsi="Century Gothic"/>
                <w:i w:val="0"/>
              </w:rPr>
              <w:t>Le Ministre peut désigner</w:t>
            </w:r>
            <w:r w:rsidR="000076FC">
              <w:rPr>
                <w:rFonts w:ascii="Century Gothic" w:hAnsi="Century Gothic"/>
                <w:i w:val="0"/>
              </w:rPr>
              <w:t xml:space="preserve">, parmi les fonctionnaires de la DGO4, </w:t>
            </w:r>
            <w:r w:rsidRPr="00403A83">
              <w:rPr>
                <w:rFonts w:ascii="Century Gothic" w:hAnsi="Century Gothic"/>
                <w:i w:val="0"/>
              </w:rPr>
              <w:t>un représentant dont le rôle est d’éclairer les travaux de la commission.  Ce fonctionnaire siège à la commission avec voix consultative.</w:t>
            </w:r>
          </w:p>
          <w:p w:rsidR="00097658" w:rsidRPr="00403A83" w:rsidRDefault="00097658">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sz w:val="24"/>
              </w:rPr>
            </w:pPr>
            <w:r w:rsidRPr="00403A83">
              <w:rPr>
                <w:rFonts w:ascii="Century Gothic" w:hAnsi="Century Gothic"/>
                <w:b/>
                <w:sz w:val="24"/>
                <w:u w:val="single"/>
              </w:rPr>
              <w:lastRenderedPageBreak/>
              <w:t>Art. 10 – Validité des votes et quorum de vote</w:t>
            </w:r>
            <w:r w:rsidRPr="00403A83">
              <w:rPr>
                <w:rFonts w:ascii="Century Gothic" w:hAnsi="Century Gothic"/>
                <w:sz w:val="24"/>
              </w:rPr>
              <w:t xml:space="preserve"> </w:t>
            </w:r>
          </w:p>
          <w:p w:rsidR="00D84025" w:rsidRPr="00403A83" w:rsidRDefault="00D84025">
            <w:pPr>
              <w:jc w:val="both"/>
              <w:rPr>
                <w:rFonts w:ascii="Century Gothic" w:hAnsi="Century Gothic"/>
                <w:sz w:val="24"/>
              </w:rPr>
            </w:pPr>
          </w:p>
          <w:p w:rsidR="00145D80" w:rsidRDefault="00097658" w:rsidP="00145D80">
            <w:pPr>
              <w:jc w:val="both"/>
              <w:rPr>
                <w:rFonts w:ascii="Century Gothic" w:hAnsi="Century Gothic"/>
                <w:sz w:val="24"/>
              </w:rPr>
            </w:pPr>
            <w:r w:rsidRPr="00403A83">
              <w:rPr>
                <w:rFonts w:ascii="Century Gothic" w:hAnsi="Century Gothic"/>
                <w:sz w:val="24"/>
              </w:rPr>
              <w:t>La commission ne délibère valablement qu'en présence de la majorité des membres ayant droit de vote.</w:t>
            </w:r>
          </w:p>
          <w:p w:rsidR="00145D80" w:rsidRDefault="00145D80">
            <w:pPr>
              <w:jc w:val="both"/>
              <w:rPr>
                <w:rFonts w:ascii="Century Gothic" w:hAnsi="Century Gothic"/>
                <w:sz w:val="24"/>
              </w:rPr>
            </w:pPr>
          </w:p>
          <w:p w:rsidR="000769FF" w:rsidRPr="00403A83" w:rsidRDefault="00097658">
            <w:pPr>
              <w:jc w:val="both"/>
              <w:rPr>
                <w:rFonts w:ascii="Century Gothic" w:hAnsi="Century Gothic"/>
                <w:sz w:val="24"/>
              </w:rPr>
            </w:pPr>
            <w:r w:rsidRPr="00403A83">
              <w:rPr>
                <w:rFonts w:ascii="Century Gothic" w:hAnsi="Century Gothic"/>
                <w:sz w:val="24"/>
              </w:rPr>
              <w:t>Ont droit de vote, le président, les membres effectifs et le suppléant le mieux classé de chaque membre effectif absent.</w:t>
            </w:r>
            <w:r w:rsidR="00145D80">
              <w:rPr>
                <w:rFonts w:ascii="Century Gothic" w:hAnsi="Century Gothic"/>
                <w:sz w:val="24"/>
              </w:rPr>
              <w:t xml:space="preserve"> </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Le vote est acquis à la majorité simple</w:t>
            </w:r>
            <w:r w:rsidR="005F7351" w:rsidRPr="00403A83">
              <w:rPr>
                <w:rFonts w:ascii="Century Gothic" w:hAnsi="Century Gothic"/>
                <w:sz w:val="24"/>
              </w:rPr>
              <w:t> ;</w:t>
            </w:r>
            <w:r w:rsidRPr="00403A83">
              <w:rPr>
                <w:rFonts w:ascii="Century Gothic" w:hAnsi="Century Gothic"/>
                <w:sz w:val="24"/>
              </w:rPr>
              <w:t xml:space="preserve"> en cas d'égalité de voix, celle du président est prépondérante.</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Le vote peut être secret ou à main levée, à l’appréciation de la C.C.A.T.M.</w:t>
            </w:r>
          </w:p>
          <w:p w:rsidR="00145D80" w:rsidRDefault="00145D80" w:rsidP="00145D80">
            <w:pPr>
              <w:jc w:val="both"/>
            </w:pPr>
          </w:p>
          <w:p w:rsidR="00097658" w:rsidRPr="00403A83" w:rsidRDefault="00097658">
            <w:pPr>
              <w:jc w:val="both"/>
              <w:rPr>
                <w:rFonts w:ascii="Century Gothic" w:hAnsi="Century Gothic"/>
                <w:sz w:val="24"/>
              </w:rPr>
            </w:pPr>
            <w:r w:rsidRPr="00403A83">
              <w:rPr>
                <w:rFonts w:ascii="Century Gothic" w:hAnsi="Century Gothic"/>
                <w:sz w:val="24"/>
              </w:rPr>
              <w:t xml:space="preserve">Lorsqu’il est directement concerné par un dossier examiné par la C.C.A.T.M., le président, le membre </w:t>
            </w:r>
            <w:r w:rsidR="00090970" w:rsidRPr="008B4375">
              <w:rPr>
                <w:rFonts w:ascii="Century Gothic" w:hAnsi="Century Gothic"/>
                <w:sz w:val="24"/>
              </w:rPr>
              <w:t xml:space="preserve">effectif </w:t>
            </w:r>
            <w:r w:rsidR="00145D80">
              <w:rPr>
                <w:rFonts w:ascii="Century Gothic" w:hAnsi="Century Gothic"/>
                <w:sz w:val="24"/>
              </w:rPr>
              <w:t xml:space="preserve">ou suppléant </w:t>
            </w:r>
            <w:r w:rsidRPr="00403A83">
              <w:rPr>
                <w:rFonts w:ascii="Century Gothic" w:hAnsi="Century Gothic"/>
                <w:sz w:val="24"/>
              </w:rPr>
              <w:t>doit quitter la séance et s’abstenir de participer aux délibérations et aux votes.</w:t>
            </w:r>
          </w:p>
          <w:p w:rsidR="00097658" w:rsidRPr="00403A83" w:rsidRDefault="00097658">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b/>
                <w:sz w:val="24"/>
                <w:u w:val="single"/>
              </w:rPr>
            </w:pPr>
            <w:r w:rsidRPr="00403A83">
              <w:rPr>
                <w:rFonts w:ascii="Century Gothic" w:hAnsi="Century Gothic"/>
                <w:b/>
                <w:sz w:val="24"/>
                <w:u w:val="single"/>
              </w:rPr>
              <w:t>Art. 11 – Fréquence des réunions – Ordre du jour et convocations</w:t>
            </w:r>
          </w:p>
          <w:p w:rsidR="00D84025" w:rsidRPr="00403A83" w:rsidRDefault="00D84025">
            <w:pPr>
              <w:jc w:val="both"/>
              <w:rPr>
                <w:rFonts w:ascii="Century Gothic" w:hAnsi="Century Gothic"/>
                <w:b/>
                <w:sz w:val="24"/>
                <w:u w:val="single"/>
              </w:rPr>
            </w:pPr>
          </w:p>
          <w:p w:rsidR="00097658" w:rsidRPr="008B4375" w:rsidRDefault="00097658">
            <w:pPr>
              <w:jc w:val="both"/>
              <w:rPr>
                <w:rFonts w:ascii="Century Gothic" w:hAnsi="Century Gothic"/>
                <w:sz w:val="24"/>
              </w:rPr>
            </w:pPr>
            <w:r w:rsidRPr="00403A83">
              <w:rPr>
                <w:rFonts w:ascii="Century Gothic" w:hAnsi="Century Gothic"/>
                <w:sz w:val="24"/>
              </w:rPr>
              <w:t xml:space="preserve">La commission se réunit au moins le nombre de fois imposé par le </w:t>
            </w:r>
            <w:r w:rsidRPr="008B4375">
              <w:rPr>
                <w:rFonts w:ascii="Century Gothic" w:hAnsi="Century Gothic"/>
                <w:sz w:val="24"/>
              </w:rPr>
              <w:t>Code</w:t>
            </w:r>
            <w:r w:rsidR="005F7351" w:rsidRPr="008B4375">
              <w:rPr>
                <w:rFonts w:ascii="Century Gothic" w:hAnsi="Century Gothic"/>
                <w:sz w:val="24"/>
              </w:rPr>
              <w:t xml:space="preserve"> (Art. R.I.10-5, §4)</w:t>
            </w:r>
            <w:r w:rsidRPr="008B4375">
              <w:rPr>
                <w:rFonts w:ascii="Century Gothic" w:hAnsi="Century Gothic"/>
                <w:sz w:val="24"/>
              </w:rPr>
              <w:t>, sur convocation du président.</w:t>
            </w:r>
          </w:p>
          <w:p w:rsidR="00097658" w:rsidRDefault="00097658">
            <w:pPr>
              <w:jc w:val="both"/>
              <w:rPr>
                <w:rFonts w:ascii="Century Gothic" w:hAnsi="Century Gothic"/>
                <w:sz w:val="24"/>
              </w:rPr>
            </w:pPr>
          </w:p>
          <w:p w:rsidR="0002674B" w:rsidRDefault="0002674B">
            <w:pPr>
              <w:jc w:val="both"/>
              <w:rPr>
                <w:rFonts w:ascii="Century Gothic" w:hAnsi="Century Gothic"/>
                <w:sz w:val="24"/>
              </w:rPr>
            </w:pPr>
            <w:r>
              <w:rPr>
                <w:rFonts w:ascii="Century Gothic" w:hAnsi="Century Gothic"/>
                <w:sz w:val="24"/>
              </w:rPr>
              <w:t>En outre, le président convoque la commission communale à la demande du collège communal, lorsque l’avis de la commission est requis en vertu d’une disposition législative ou  règlementaire.</w:t>
            </w:r>
          </w:p>
          <w:p w:rsidR="0002674B" w:rsidRPr="00403A83" w:rsidRDefault="0002674B">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Le président est tenu de réunir la commission afin que celle-ci puisse remettre ses avis dans les délais prescrits.</w:t>
            </w:r>
          </w:p>
          <w:p w:rsidR="0002674B" w:rsidRDefault="0002674B" w:rsidP="0002674B">
            <w:pPr>
              <w:pStyle w:val="Corpsdetexte3"/>
              <w:rPr>
                <w:rFonts w:ascii="Century Gothic" w:hAnsi="Century Gothic"/>
                <w:i w:val="0"/>
              </w:rPr>
            </w:pPr>
          </w:p>
          <w:p w:rsidR="0002674B" w:rsidRPr="00403A83" w:rsidRDefault="0002674B" w:rsidP="0002674B">
            <w:pPr>
              <w:pStyle w:val="Corpsdetexte3"/>
              <w:rPr>
                <w:rFonts w:ascii="Century Gothic" w:hAnsi="Century Gothic"/>
                <w:i w:val="0"/>
              </w:rPr>
            </w:pPr>
            <w:r w:rsidRPr="00403A83">
              <w:rPr>
                <w:rFonts w:ascii="Century Gothic" w:hAnsi="Century Gothic"/>
                <w:i w:val="0"/>
              </w:rPr>
              <w:t xml:space="preserve">Les convocations comportent l’ordre du jour, fixé par le président.  </w:t>
            </w:r>
          </w:p>
          <w:p w:rsidR="0002674B" w:rsidRPr="00403A83" w:rsidRDefault="0002674B" w:rsidP="0002674B">
            <w:pPr>
              <w:pStyle w:val="Corpsdetexte3"/>
              <w:rPr>
                <w:rFonts w:ascii="Century Gothic" w:hAnsi="Century Gothic"/>
                <w:i w:val="0"/>
              </w:rPr>
            </w:pPr>
          </w:p>
          <w:p w:rsidR="00097658" w:rsidRDefault="00097658">
            <w:pPr>
              <w:jc w:val="both"/>
              <w:rPr>
                <w:rFonts w:ascii="Century Gothic" w:hAnsi="Century Gothic"/>
                <w:sz w:val="24"/>
              </w:rPr>
            </w:pPr>
            <w:r w:rsidRPr="00403A83">
              <w:rPr>
                <w:rFonts w:ascii="Century Gothic" w:hAnsi="Century Gothic"/>
                <w:sz w:val="24"/>
              </w:rPr>
              <w:t>Les convocations sont envoyées par lettre individuelle</w:t>
            </w:r>
            <w:r w:rsidR="007827A5" w:rsidRPr="00403A83">
              <w:rPr>
                <w:rFonts w:ascii="Century Gothic" w:hAnsi="Century Gothic"/>
                <w:sz w:val="24"/>
              </w:rPr>
              <w:t xml:space="preserve"> ou par mail, </w:t>
            </w:r>
            <w:r w:rsidRPr="00403A83">
              <w:rPr>
                <w:rFonts w:ascii="Century Gothic" w:hAnsi="Century Gothic"/>
                <w:sz w:val="24"/>
              </w:rPr>
              <w:t>adressée</w:t>
            </w:r>
            <w:r w:rsidR="007827A5" w:rsidRPr="00403A83">
              <w:rPr>
                <w:rFonts w:ascii="Century Gothic" w:hAnsi="Century Gothic"/>
                <w:sz w:val="24"/>
              </w:rPr>
              <w:t>s</w:t>
            </w:r>
            <w:r w:rsidRPr="00403A83">
              <w:rPr>
                <w:rFonts w:ascii="Century Gothic" w:hAnsi="Century Gothic"/>
                <w:sz w:val="24"/>
              </w:rPr>
              <w:t xml:space="preserve"> aux membres de la commission huit jours ouvrables au moins avant la date fixée pour la réunion.</w:t>
            </w:r>
          </w:p>
          <w:p w:rsidR="008B4375" w:rsidRDefault="008B4375">
            <w:pPr>
              <w:jc w:val="both"/>
              <w:rPr>
                <w:rFonts w:ascii="Century Gothic" w:hAnsi="Century Gothic"/>
                <w:sz w:val="24"/>
              </w:rPr>
            </w:pPr>
          </w:p>
          <w:p w:rsidR="008B4375" w:rsidRPr="00403A83" w:rsidRDefault="00E34D9D">
            <w:pPr>
              <w:jc w:val="both"/>
              <w:rPr>
                <w:rFonts w:ascii="Century Gothic" w:hAnsi="Century Gothic"/>
                <w:sz w:val="24"/>
              </w:rPr>
            </w:pPr>
            <w:r>
              <w:rPr>
                <w:rFonts w:ascii="Century Gothic" w:hAnsi="Century Gothic"/>
                <w:sz w:val="24"/>
              </w:rPr>
              <w:t xml:space="preserve">En l’absence du membre effectif, </w:t>
            </w:r>
            <w:r w:rsidR="008B4375">
              <w:rPr>
                <w:rFonts w:ascii="Century Gothic" w:hAnsi="Century Gothic"/>
                <w:sz w:val="24"/>
              </w:rPr>
              <w:t>il en avertit son suppléant dans les meilleurs délais.</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Une copie de cette convocation est également envoyée à :</w:t>
            </w:r>
          </w:p>
          <w:p w:rsidR="00097658" w:rsidRPr="00403A83" w:rsidRDefault="00097658">
            <w:pPr>
              <w:jc w:val="both"/>
              <w:rPr>
                <w:rFonts w:ascii="Century Gothic" w:hAnsi="Century Gothic"/>
                <w:sz w:val="24"/>
              </w:rPr>
            </w:pPr>
          </w:p>
          <w:p w:rsidR="00097658" w:rsidRDefault="00097658">
            <w:pPr>
              <w:numPr>
                <w:ilvl w:val="0"/>
                <w:numId w:val="1"/>
              </w:numPr>
              <w:jc w:val="both"/>
              <w:rPr>
                <w:rFonts w:ascii="Century Gothic" w:hAnsi="Century Gothic"/>
                <w:sz w:val="24"/>
              </w:rPr>
            </w:pPr>
            <w:r w:rsidRPr="00403A83">
              <w:rPr>
                <w:rFonts w:ascii="Century Gothic" w:hAnsi="Century Gothic"/>
                <w:sz w:val="24"/>
              </w:rPr>
              <w:t>l’échevin ayant l’aménagement du territoire</w:t>
            </w:r>
            <w:r w:rsidR="00090970">
              <w:rPr>
                <w:rFonts w:ascii="Century Gothic" w:hAnsi="Century Gothic"/>
                <w:sz w:val="24"/>
              </w:rPr>
              <w:t xml:space="preserve"> </w:t>
            </w:r>
            <w:r w:rsidRPr="00403A83">
              <w:rPr>
                <w:rFonts w:ascii="Century Gothic" w:hAnsi="Century Gothic"/>
                <w:sz w:val="24"/>
              </w:rPr>
              <w:t>dans ses attributions ;</w:t>
            </w:r>
          </w:p>
          <w:p w:rsidR="00090970" w:rsidRPr="008B4375" w:rsidRDefault="00090970">
            <w:pPr>
              <w:numPr>
                <w:ilvl w:val="0"/>
                <w:numId w:val="1"/>
              </w:numPr>
              <w:jc w:val="both"/>
              <w:rPr>
                <w:rFonts w:ascii="Century Gothic" w:hAnsi="Century Gothic"/>
                <w:sz w:val="24"/>
              </w:rPr>
            </w:pPr>
            <w:r w:rsidRPr="008B4375">
              <w:rPr>
                <w:rFonts w:ascii="Century Gothic" w:hAnsi="Century Gothic"/>
                <w:sz w:val="24"/>
              </w:rPr>
              <w:t>l’échevin ayant l’urbanisme dans ses attributions ;</w:t>
            </w:r>
          </w:p>
          <w:p w:rsidR="00097658" w:rsidRDefault="00097658">
            <w:pPr>
              <w:numPr>
                <w:ilvl w:val="0"/>
                <w:numId w:val="1"/>
              </w:numPr>
              <w:jc w:val="both"/>
              <w:rPr>
                <w:rFonts w:ascii="Century Gothic" w:hAnsi="Century Gothic"/>
                <w:sz w:val="24"/>
              </w:rPr>
            </w:pPr>
            <w:r w:rsidRPr="00403A83">
              <w:rPr>
                <w:rFonts w:ascii="Century Gothic" w:hAnsi="Century Gothic"/>
                <w:sz w:val="24"/>
              </w:rPr>
              <w:t>l’échevin ayant la mobilité dans ses attributions</w:t>
            </w:r>
            <w:r w:rsidR="00FC1EDF">
              <w:rPr>
                <w:rFonts w:ascii="Century Gothic" w:hAnsi="Century Gothic"/>
                <w:sz w:val="24"/>
              </w:rPr>
              <w:t> ;</w:t>
            </w:r>
          </w:p>
          <w:p w:rsidR="00097658" w:rsidRDefault="00097658" w:rsidP="005A5200">
            <w:pPr>
              <w:numPr>
                <w:ilvl w:val="0"/>
                <w:numId w:val="1"/>
              </w:numPr>
              <w:jc w:val="both"/>
              <w:rPr>
                <w:rFonts w:ascii="Century Gothic" w:hAnsi="Century Gothic"/>
                <w:sz w:val="24"/>
              </w:rPr>
            </w:pPr>
            <w:r w:rsidRPr="00403A83">
              <w:rPr>
                <w:rFonts w:ascii="Century Gothic" w:hAnsi="Century Gothic"/>
                <w:sz w:val="24"/>
              </w:rPr>
              <w:t>s’il existe, au conseiller en aménagement du territoire et en urbanisme</w:t>
            </w:r>
            <w:r w:rsidR="00FC1EDF">
              <w:rPr>
                <w:rFonts w:ascii="Century Gothic" w:hAnsi="Century Gothic"/>
                <w:sz w:val="24"/>
              </w:rPr>
              <w:t> ;</w:t>
            </w:r>
          </w:p>
          <w:p w:rsidR="001A65DF" w:rsidRPr="00403A83" w:rsidRDefault="000769FF" w:rsidP="005A5200">
            <w:pPr>
              <w:numPr>
                <w:ilvl w:val="0"/>
                <w:numId w:val="1"/>
              </w:numPr>
              <w:jc w:val="both"/>
              <w:rPr>
                <w:rFonts w:ascii="Century Gothic" w:hAnsi="Century Gothic"/>
                <w:sz w:val="24"/>
              </w:rPr>
            </w:pPr>
            <w:r>
              <w:rPr>
                <w:rFonts w:ascii="Century Gothic" w:hAnsi="Century Gothic"/>
                <w:sz w:val="24"/>
              </w:rPr>
              <w:t>s</w:t>
            </w:r>
            <w:r w:rsidR="001A65DF">
              <w:rPr>
                <w:rFonts w:ascii="Century Gothic" w:hAnsi="Century Gothic"/>
                <w:sz w:val="24"/>
              </w:rPr>
              <w:t>’</w:t>
            </w:r>
            <w:r>
              <w:rPr>
                <w:rFonts w:ascii="Century Gothic" w:hAnsi="Century Gothic"/>
                <w:sz w:val="24"/>
              </w:rPr>
              <w:t>i</w:t>
            </w:r>
            <w:r w:rsidR="001A65DF">
              <w:rPr>
                <w:rFonts w:ascii="Century Gothic" w:hAnsi="Century Gothic"/>
                <w:sz w:val="24"/>
              </w:rPr>
              <w:t xml:space="preserve">l existe, au fonctionnaire de la DGO4 désigné en application </w:t>
            </w:r>
            <w:r w:rsidR="00FC1EDF">
              <w:rPr>
                <w:rFonts w:ascii="Century Gothic" w:hAnsi="Century Gothic"/>
                <w:sz w:val="24"/>
              </w:rPr>
              <w:t>de l’article R.I.10</w:t>
            </w:r>
            <w:r w:rsidR="005D1201">
              <w:rPr>
                <w:rFonts w:ascii="Century Gothic" w:hAnsi="Century Gothic"/>
                <w:sz w:val="24"/>
              </w:rPr>
              <w:t>, §</w:t>
            </w:r>
            <w:r w:rsidR="00FC1EDF">
              <w:rPr>
                <w:rFonts w:ascii="Century Gothic" w:hAnsi="Century Gothic"/>
                <w:sz w:val="24"/>
              </w:rPr>
              <w:t>12, du CoDT</w:t>
            </w:r>
            <w:r w:rsidR="001A65DF">
              <w:rPr>
                <w:rFonts w:ascii="Century Gothic" w:hAnsi="Century Gothic"/>
                <w:sz w:val="24"/>
              </w:rPr>
              <w:t>.</w:t>
            </w:r>
          </w:p>
          <w:p w:rsidR="00097658" w:rsidRPr="00403A83" w:rsidRDefault="00097658">
            <w:pPr>
              <w:jc w:val="both"/>
              <w:rPr>
                <w:rFonts w:ascii="Century Gothic" w:hAnsi="Century Gothic"/>
                <w:sz w:val="24"/>
              </w:rPr>
            </w:pPr>
            <w:r w:rsidRPr="00403A83">
              <w:rPr>
                <w:rFonts w:ascii="Century Gothic" w:hAnsi="Century Gothic"/>
                <w:sz w:val="24"/>
              </w:rPr>
              <w:t xml:space="preserve"> </w:t>
            </w:r>
          </w:p>
        </w:tc>
      </w:tr>
      <w:tr w:rsidR="00097658" w:rsidRPr="004F3F69" w:rsidTr="001A7B67">
        <w:tc>
          <w:tcPr>
            <w:tcW w:w="9426" w:type="dxa"/>
          </w:tcPr>
          <w:p w:rsidR="00097658" w:rsidRPr="00403A83" w:rsidRDefault="00097658">
            <w:pPr>
              <w:jc w:val="both"/>
              <w:rPr>
                <w:rFonts w:ascii="Century Gothic" w:hAnsi="Century Gothic"/>
                <w:sz w:val="24"/>
              </w:rPr>
            </w:pPr>
            <w:r w:rsidRPr="00403A83">
              <w:rPr>
                <w:rFonts w:ascii="Century Gothic" w:hAnsi="Century Gothic"/>
                <w:b/>
                <w:sz w:val="24"/>
                <w:u w:val="single"/>
              </w:rPr>
              <w:lastRenderedPageBreak/>
              <w:t>Art. 12  – Procès-verbaux des réunions</w:t>
            </w:r>
            <w:r w:rsidRPr="00403A83">
              <w:rPr>
                <w:rFonts w:ascii="Century Gothic" w:hAnsi="Century Gothic"/>
                <w:sz w:val="24"/>
              </w:rPr>
              <w:t xml:space="preserve"> </w:t>
            </w:r>
          </w:p>
          <w:p w:rsidR="00D84025" w:rsidRPr="00403A83" w:rsidRDefault="00D84025">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Les avis émis par la commission sont motivés et font état, le cas échéant, du résultat des votes.  Ils sont inscrits dans un procès-verbal signé par le président et le secrétaire de la commission.</w:t>
            </w:r>
          </w:p>
          <w:p w:rsidR="00097658" w:rsidRPr="00403A83" w:rsidRDefault="00097658">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Le procès-verbal est envoyé aux membres de la commission, qui ont la possibilité de réagir par écrit dans les huit jours à dater de l'envoi des documents.  Il est soumis à approbation lors de la réunion suivante.</w:t>
            </w:r>
          </w:p>
          <w:p w:rsidR="005F7351" w:rsidRPr="00403A83" w:rsidRDefault="005F7351">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b/>
                <w:sz w:val="24"/>
                <w:u w:val="single"/>
              </w:rPr>
            </w:pPr>
            <w:r w:rsidRPr="00403A83">
              <w:rPr>
                <w:rFonts w:ascii="Century Gothic" w:hAnsi="Century Gothic"/>
                <w:b/>
                <w:sz w:val="24"/>
                <w:u w:val="single"/>
              </w:rPr>
              <w:t>Art. 13 – Retour d’information</w:t>
            </w:r>
          </w:p>
          <w:p w:rsidR="00D84025" w:rsidRPr="00403A83" w:rsidRDefault="00D84025">
            <w:pPr>
              <w:jc w:val="both"/>
              <w:rPr>
                <w:rFonts w:ascii="Century Gothic" w:hAnsi="Century Gothic"/>
                <w:sz w:val="24"/>
              </w:rPr>
            </w:pPr>
          </w:p>
          <w:p w:rsidR="00097658" w:rsidRPr="00403A83" w:rsidRDefault="00097658">
            <w:pPr>
              <w:jc w:val="both"/>
              <w:rPr>
                <w:rFonts w:ascii="Century Gothic" w:hAnsi="Century Gothic"/>
                <w:sz w:val="24"/>
              </w:rPr>
            </w:pPr>
            <w:r w:rsidRPr="00403A83">
              <w:rPr>
                <w:rFonts w:ascii="Century Gothic" w:hAnsi="Century Gothic"/>
                <w:sz w:val="24"/>
              </w:rPr>
              <w:t>La commission est toujours informée des avis ou des décisions prises par les autorités locales sur les dossiers qu'elle a eu à connaître.</w:t>
            </w:r>
          </w:p>
          <w:p w:rsidR="00097658" w:rsidRPr="00403A83" w:rsidRDefault="00097658">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sz w:val="24"/>
              </w:rPr>
            </w:pPr>
            <w:r w:rsidRPr="00403A83">
              <w:rPr>
                <w:rFonts w:ascii="Century Gothic" w:hAnsi="Century Gothic"/>
              </w:rPr>
              <w:br w:type="page"/>
            </w:r>
            <w:r w:rsidRPr="00403A83">
              <w:rPr>
                <w:rFonts w:ascii="Century Gothic" w:hAnsi="Century Gothic"/>
                <w:b/>
                <w:sz w:val="24"/>
                <w:u w:val="single"/>
              </w:rPr>
              <w:t>Art. 14 – Rapport d’activités</w:t>
            </w:r>
            <w:r w:rsidRPr="00403A83">
              <w:rPr>
                <w:rFonts w:ascii="Century Gothic" w:hAnsi="Century Gothic"/>
                <w:sz w:val="24"/>
              </w:rPr>
              <w:t xml:space="preserve"> </w:t>
            </w:r>
          </w:p>
          <w:p w:rsidR="00D84025" w:rsidRPr="00403A83" w:rsidRDefault="00D84025">
            <w:pPr>
              <w:jc w:val="both"/>
              <w:rPr>
                <w:rFonts w:ascii="Century Gothic" w:hAnsi="Century Gothic"/>
                <w:sz w:val="24"/>
              </w:rPr>
            </w:pPr>
          </w:p>
          <w:p w:rsidR="00097658" w:rsidRDefault="00097658" w:rsidP="001A7B67">
            <w:pPr>
              <w:jc w:val="both"/>
              <w:rPr>
                <w:rFonts w:ascii="Century Gothic" w:hAnsi="Century Gothic"/>
                <w:sz w:val="24"/>
              </w:rPr>
            </w:pPr>
            <w:r w:rsidRPr="00403A83">
              <w:rPr>
                <w:rFonts w:ascii="Century Gothic" w:hAnsi="Century Gothic"/>
                <w:sz w:val="24"/>
              </w:rPr>
              <w:t xml:space="preserve">La commission dresse un rapport de ses activités </w:t>
            </w:r>
            <w:r w:rsidR="007827A5" w:rsidRPr="00403A83">
              <w:rPr>
                <w:rFonts w:ascii="Century Gothic" w:hAnsi="Century Gothic"/>
                <w:sz w:val="24"/>
              </w:rPr>
              <w:t xml:space="preserve">au moins une fois tous les six ans </w:t>
            </w:r>
            <w:r w:rsidRPr="00403A83">
              <w:rPr>
                <w:rFonts w:ascii="Century Gothic" w:hAnsi="Century Gothic"/>
                <w:sz w:val="24"/>
              </w:rPr>
              <w:t>qu’elle transmet à la DGO4 le 30 juin de l’année qui suit l’installation du conseil com</w:t>
            </w:r>
            <w:r w:rsidR="00D23831">
              <w:rPr>
                <w:rFonts w:ascii="Century Gothic" w:hAnsi="Century Gothic"/>
                <w:sz w:val="24"/>
              </w:rPr>
              <w:t xml:space="preserve">munal à la suite des élections. </w:t>
            </w:r>
            <w:r w:rsidRPr="00403A83">
              <w:rPr>
                <w:rFonts w:ascii="Century Gothic" w:hAnsi="Century Gothic"/>
                <w:sz w:val="24"/>
              </w:rPr>
              <w:t xml:space="preserve">Le rapport d’activités est consultable à l’administration communale. </w:t>
            </w:r>
          </w:p>
          <w:p w:rsidR="005D1201" w:rsidRPr="00403A83" w:rsidRDefault="005D1201" w:rsidP="001A7B67">
            <w:pPr>
              <w:jc w:val="both"/>
              <w:rPr>
                <w:rFonts w:ascii="Century Gothic" w:hAnsi="Century Gothic"/>
                <w:sz w:val="24"/>
              </w:rPr>
            </w:pPr>
          </w:p>
        </w:tc>
      </w:tr>
      <w:tr w:rsidR="001A7B67" w:rsidRPr="004F3F69" w:rsidTr="001A7B67">
        <w:tc>
          <w:tcPr>
            <w:tcW w:w="9426" w:type="dxa"/>
          </w:tcPr>
          <w:p w:rsidR="001A7B67" w:rsidRPr="00403A83" w:rsidRDefault="001A7B67" w:rsidP="001A7B67">
            <w:pPr>
              <w:pStyle w:val="Titre3"/>
              <w:rPr>
                <w:rFonts w:ascii="Century Gothic" w:hAnsi="Century Gothic"/>
                <w:i w:val="0"/>
                <w:u w:val="single"/>
              </w:rPr>
            </w:pPr>
            <w:r>
              <w:rPr>
                <w:rFonts w:ascii="Century Gothic" w:hAnsi="Century Gothic"/>
                <w:i w:val="0"/>
                <w:u w:val="single"/>
              </w:rPr>
              <w:t>Ar</w:t>
            </w:r>
            <w:r w:rsidRPr="00403A83">
              <w:rPr>
                <w:rFonts w:ascii="Century Gothic" w:hAnsi="Century Gothic"/>
                <w:i w:val="0"/>
                <w:u w:val="single"/>
              </w:rPr>
              <w:t>t. 15 – Budget de la commission</w:t>
            </w:r>
          </w:p>
          <w:p w:rsidR="001A7B67" w:rsidRPr="00403A83" w:rsidRDefault="001A7B67" w:rsidP="001A7B67"/>
          <w:p w:rsidR="001A7B67" w:rsidRDefault="001A7B67" w:rsidP="001A7B67">
            <w:pPr>
              <w:pStyle w:val="Corpsdetexte3"/>
              <w:rPr>
                <w:rFonts w:ascii="Century Gothic" w:hAnsi="Century Gothic"/>
                <w:i w:val="0"/>
              </w:rPr>
            </w:pPr>
            <w:r w:rsidRPr="00403A83">
              <w:rPr>
                <w:rFonts w:ascii="Century Gothic" w:hAnsi="Century Gothic"/>
                <w:i w:val="0"/>
              </w:rPr>
              <w:t>Le conseil communal porte au budget communal un article en prévision des dépenses de la commission de manière à assurer l’ensemble de ses missions.  Le collège communal veille à l’ordonnancement des dépenses au fur et à mesure des besoins de celle-ci.</w:t>
            </w:r>
          </w:p>
          <w:p w:rsidR="001A7B67" w:rsidRPr="00403A83" w:rsidRDefault="001A7B67" w:rsidP="001A7B67">
            <w:pPr>
              <w:pStyle w:val="Corpsdetexte3"/>
              <w:rPr>
                <w:rFonts w:ascii="Century Gothic" w:hAnsi="Century Gothic"/>
                <w:i w:val="0"/>
              </w:rPr>
            </w:pPr>
          </w:p>
          <w:p w:rsidR="001A7B67" w:rsidRPr="00403A83" w:rsidRDefault="001A7B67">
            <w:pPr>
              <w:jc w:val="both"/>
              <w:rPr>
                <w:rFonts w:ascii="Century Gothic" w:hAnsi="Century Gothic"/>
              </w:rPr>
            </w:pPr>
          </w:p>
        </w:tc>
      </w:tr>
      <w:tr w:rsidR="00097658" w:rsidRPr="004F3F69" w:rsidTr="001A7B67">
        <w:tc>
          <w:tcPr>
            <w:tcW w:w="9426" w:type="dxa"/>
          </w:tcPr>
          <w:p w:rsidR="005F7351" w:rsidRPr="00403A83" w:rsidRDefault="005F7351" w:rsidP="001A7B67">
            <w:pPr>
              <w:pStyle w:val="Corpsdetexte3"/>
              <w:rPr>
                <w:rFonts w:ascii="Century Gothic" w:hAnsi="Century Gothic"/>
                <w:i w:val="0"/>
              </w:rPr>
            </w:pPr>
          </w:p>
        </w:tc>
      </w:tr>
      <w:tr w:rsidR="00097658" w:rsidRPr="004F3F69" w:rsidTr="001A7B67">
        <w:tc>
          <w:tcPr>
            <w:tcW w:w="9426" w:type="dxa"/>
          </w:tcPr>
          <w:p w:rsidR="00097658" w:rsidRPr="00403A83" w:rsidRDefault="00097658">
            <w:pPr>
              <w:pStyle w:val="Titre3"/>
              <w:rPr>
                <w:rFonts w:ascii="Century Gothic" w:hAnsi="Century Gothic"/>
                <w:i w:val="0"/>
                <w:u w:val="single"/>
              </w:rPr>
            </w:pPr>
            <w:r w:rsidRPr="00403A83">
              <w:rPr>
                <w:rFonts w:ascii="Century Gothic" w:hAnsi="Century Gothic"/>
                <w:i w:val="0"/>
                <w:u w:val="single"/>
              </w:rPr>
              <w:lastRenderedPageBreak/>
              <w:t>Art. 16 -  Rémunération des membres</w:t>
            </w:r>
          </w:p>
          <w:p w:rsidR="00D84025" w:rsidRPr="00403A83" w:rsidRDefault="00D84025" w:rsidP="00D84025"/>
          <w:p w:rsidR="00097658" w:rsidRPr="00403A83" w:rsidRDefault="00097658">
            <w:pPr>
              <w:jc w:val="both"/>
              <w:rPr>
                <w:rFonts w:ascii="Century Gothic" w:hAnsi="Century Gothic"/>
                <w:sz w:val="24"/>
              </w:rPr>
            </w:pPr>
            <w:r w:rsidRPr="00403A83">
              <w:rPr>
                <w:rFonts w:ascii="Century Gothic" w:hAnsi="Century Gothic"/>
                <w:sz w:val="24"/>
              </w:rPr>
              <w:t>Le Gouvernement a arrêté le montant du jeton de présence auquel ont droit le président et les membres de la commission communale.</w:t>
            </w:r>
          </w:p>
          <w:p w:rsidR="00097658" w:rsidRPr="00403A83" w:rsidRDefault="00097658">
            <w:pPr>
              <w:jc w:val="both"/>
              <w:rPr>
                <w:rFonts w:ascii="Century Gothic" w:hAnsi="Century Gothic"/>
                <w:sz w:val="24"/>
              </w:rPr>
            </w:pPr>
            <w:r w:rsidRPr="00403A83">
              <w:rPr>
                <w:rFonts w:ascii="Century Gothic" w:hAnsi="Century Gothic"/>
                <w:sz w:val="24"/>
              </w:rPr>
              <w:t>Le président a droit à un jeton de présence de 25 euros par réunion et le membre effectif, ou le cas échéant le suppléant qui le remplace</w:t>
            </w:r>
            <w:r w:rsidR="001A65DF">
              <w:rPr>
                <w:rFonts w:ascii="Century Gothic" w:hAnsi="Century Gothic"/>
                <w:sz w:val="24"/>
              </w:rPr>
              <w:t>,</w:t>
            </w:r>
            <w:r w:rsidRPr="00403A83">
              <w:rPr>
                <w:rFonts w:ascii="Century Gothic" w:hAnsi="Century Gothic"/>
                <w:sz w:val="24"/>
              </w:rPr>
              <w:t xml:space="preserve"> à un jeton de présence de 12,50 euros.</w:t>
            </w:r>
          </w:p>
          <w:p w:rsidR="00097658" w:rsidRPr="00403A83" w:rsidRDefault="00097658">
            <w:pPr>
              <w:jc w:val="both"/>
              <w:rPr>
                <w:rFonts w:ascii="Century Gothic" w:hAnsi="Century Gothic"/>
                <w:sz w:val="24"/>
              </w:rPr>
            </w:pPr>
          </w:p>
          <w:p w:rsidR="00097658" w:rsidRPr="00403A83" w:rsidRDefault="00097658" w:rsidP="00831D25">
            <w:pPr>
              <w:jc w:val="both"/>
              <w:rPr>
                <w:rFonts w:ascii="Century Gothic" w:hAnsi="Century Gothic"/>
                <w:sz w:val="24"/>
              </w:rPr>
            </w:pPr>
            <w:r w:rsidRPr="00403A83">
              <w:rPr>
                <w:rFonts w:ascii="Century Gothic" w:hAnsi="Century Gothic"/>
                <w:sz w:val="24"/>
              </w:rPr>
              <w:t>Par membre, on entend l’effectif ou le suppléant de l’effectif absent, qui exerce ses prérogatives.</w:t>
            </w:r>
          </w:p>
          <w:p w:rsidR="005F7351" w:rsidRPr="00403A83" w:rsidRDefault="005F7351" w:rsidP="00831D25">
            <w:pPr>
              <w:jc w:val="both"/>
              <w:rPr>
                <w:rFonts w:ascii="Century Gothic" w:hAnsi="Century Gothic"/>
                <w:sz w:val="24"/>
              </w:rPr>
            </w:pPr>
          </w:p>
        </w:tc>
      </w:tr>
      <w:tr w:rsidR="00097658" w:rsidRPr="004F3F69" w:rsidTr="001A7B67">
        <w:tc>
          <w:tcPr>
            <w:tcW w:w="9426" w:type="dxa"/>
          </w:tcPr>
          <w:p w:rsidR="00097658" w:rsidRPr="00403A83" w:rsidRDefault="00097658">
            <w:pPr>
              <w:jc w:val="both"/>
              <w:rPr>
                <w:rFonts w:ascii="Century Gothic" w:hAnsi="Century Gothic"/>
                <w:b/>
                <w:sz w:val="24"/>
                <w:u w:val="single"/>
              </w:rPr>
            </w:pPr>
            <w:r w:rsidRPr="00403A83">
              <w:rPr>
                <w:rFonts w:ascii="Century Gothic" w:hAnsi="Century Gothic"/>
                <w:b/>
                <w:sz w:val="24"/>
                <w:u w:val="single"/>
              </w:rPr>
              <w:t>Art. 17 – Subvention</w:t>
            </w:r>
          </w:p>
          <w:p w:rsidR="00D84025" w:rsidRPr="00403A83" w:rsidRDefault="00D84025">
            <w:pPr>
              <w:jc w:val="both"/>
              <w:rPr>
                <w:rFonts w:ascii="Century Gothic" w:hAnsi="Century Gothic"/>
                <w:b/>
                <w:sz w:val="24"/>
                <w:u w:val="single"/>
              </w:rPr>
            </w:pPr>
          </w:p>
          <w:p w:rsidR="00097658" w:rsidRPr="00403A83" w:rsidRDefault="00097658">
            <w:pPr>
              <w:jc w:val="both"/>
              <w:rPr>
                <w:rFonts w:ascii="Century Gothic" w:hAnsi="Century Gothic"/>
                <w:sz w:val="24"/>
              </w:rPr>
            </w:pPr>
            <w:r w:rsidRPr="00403A83">
              <w:rPr>
                <w:rFonts w:ascii="Century Gothic" w:hAnsi="Century Gothic"/>
                <w:sz w:val="24"/>
              </w:rPr>
              <w:t>L</w:t>
            </w:r>
            <w:r w:rsidR="005454F7">
              <w:rPr>
                <w:rFonts w:ascii="Century Gothic" w:hAnsi="Century Gothic"/>
                <w:sz w:val="24"/>
              </w:rPr>
              <w:t xml:space="preserve">es </w:t>
            </w:r>
            <w:r w:rsidRPr="00403A83">
              <w:rPr>
                <w:rFonts w:ascii="Century Gothic" w:hAnsi="Century Gothic"/>
                <w:sz w:val="24"/>
              </w:rPr>
              <w:t>article</w:t>
            </w:r>
            <w:r w:rsidR="005454F7">
              <w:rPr>
                <w:rFonts w:ascii="Century Gothic" w:hAnsi="Century Gothic"/>
                <w:sz w:val="24"/>
              </w:rPr>
              <w:t>s D</w:t>
            </w:r>
            <w:r w:rsidR="00D363A3">
              <w:rPr>
                <w:rFonts w:ascii="Century Gothic" w:hAnsi="Century Gothic"/>
                <w:sz w:val="24"/>
              </w:rPr>
              <w:t>.</w:t>
            </w:r>
            <w:r w:rsidR="005454F7">
              <w:rPr>
                <w:rFonts w:ascii="Century Gothic" w:hAnsi="Century Gothic"/>
                <w:sz w:val="24"/>
              </w:rPr>
              <w:t>I.12,</w:t>
            </w:r>
            <w:r w:rsidR="00D363A3">
              <w:rPr>
                <w:rFonts w:ascii="Century Gothic" w:hAnsi="Century Gothic"/>
                <w:sz w:val="24"/>
              </w:rPr>
              <w:t xml:space="preserve"> </w:t>
            </w:r>
            <w:r w:rsidR="005454F7">
              <w:rPr>
                <w:rFonts w:ascii="Century Gothic" w:hAnsi="Century Gothic"/>
                <w:sz w:val="24"/>
              </w:rPr>
              <w:t xml:space="preserve">6° et </w:t>
            </w:r>
            <w:r w:rsidRPr="00403A83">
              <w:rPr>
                <w:rFonts w:ascii="Century Gothic" w:hAnsi="Century Gothic"/>
                <w:sz w:val="24"/>
              </w:rPr>
              <w:t xml:space="preserve"> </w:t>
            </w:r>
            <w:r w:rsidR="005454F7">
              <w:rPr>
                <w:rFonts w:ascii="Century Gothic" w:hAnsi="Century Gothic"/>
                <w:sz w:val="24"/>
              </w:rPr>
              <w:t>R</w:t>
            </w:r>
            <w:r w:rsidR="00D363A3">
              <w:rPr>
                <w:rFonts w:ascii="Century Gothic" w:hAnsi="Century Gothic"/>
                <w:sz w:val="24"/>
              </w:rPr>
              <w:t>.I</w:t>
            </w:r>
            <w:r w:rsidRPr="00403A83">
              <w:rPr>
                <w:rFonts w:ascii="Century Gothic" w:hAnsi="Century Gothic"/>
                <w:sz w:val="24"/>
              </w:rPr>
              <w:t>.12, 6°</w:t>
            </w:r>
            <w:r w:rsidR="005454F7">
              <w:rPr>
                <w:rFonts w:ascii="Century Gothic" w:hAnsi="Century Gothic"/>
                <w:sz w:val="24"/>
              </w:rPr>
              <w:t>, du CoDT</w:t>
            </w:r>
            <w:r w:rsidRPr="00403A83">
              <w:rPr>
                <w:rFonts w:ascii="Century Gothic" w:hAnsi="Century Gothic"/>
                <w:sz w:val="24"/>
              </w:rPr>
              <w:t xml:space="preserve"> prévoit l’octroi d’une subvention de :</w:t>
            </w:r>
          </w:p>
          <w:p w:rsidR="00097658" w:rsidRPr="00403A83" w:rsidRDefault="00097658" w:rsidP="003A4063">
            <w:pPr>
              <w:numPr>
                <w:ilvl w:val="0"/>
                <w:numId w:val="1"/>
              </w:numPr>
              <w:jc w:val="both"/>
              <w:rPr>
                <w:rFonts w:ascii="Century Gothic" w:hAnsi="Century Gothic"/>
                <w:sz w:val="24"/>
              </w:rPr>
            </w:pPr>
            <w:r w:rsidRPr="00403A83">
              <w:rPr>
                <w:rFonts w:ascii="Century Gothic" w:hAnsi="Century Gothic"/>
                <w:sz w:val="24"/>
              </w:rPr>
              <w:t>2500 euros pour une commission</w:t>
            </w:r>
            <w:r w:rsidR="00D363A3">
              <w:rPr>
                <w:rFonts w:ascii="Century Gothic" w:hAnsi="Century Gothic"/>
                <w:sz w:val="24"/>
              </w:rPr>
              <w:t xml:space="preserve"> composée</w:t>
            </w:r>
            <w:r w:rsidRPr="00403A83">
              <w:rPr>
                <w:rFonts w:ascii="Century Gothic" w:hAnsi="Century Gothic"/>
                <w:sz w:val="24"/>
              </w:rPr>
              <w:t>, outre le président de 8 membres</w:t>
            </w:r>
            <w:r w:rsidR="005F7351" w:rsidRPr="00403A83">
              <w:rPr>
                <w:rFonts w:ascii="Century Gothic" w:hAnsi="Century Gothic"/>
                <w:sz w:val="24"/>
              </w:rPr>
              <w:t> ;</w:t>
            </w:r>
          </w:p>
          <w:p w:rsidR="00097658" w:rsidRPr="00403A83" w:rsidRDefault="00097658" w:rsidP="003A4063">
            <w:pPr>
              <w:numPr>
                <w:ilvl w:val="0"/>
                <w:numId w:val="1"/>
              </w:numPr>
              <w:jc w:val="both"/>
              <w:rPr>
                <w:rFonts w:ascii="Century Gothic" w:hAnsi="Century Gothic"/>
                <w:sz w:val="24"/>
              </w:rPr>
            </w:pPr>
            <w:r w:rsidRPr="00403A83">
              <w:rPr>
                <w:rFonts w:ascii="Century Gothic" w:hAnsi="Century Gothic"/>
                <w:sz w:val="24"/>
              </w:rPr>
              <w:t>4500 euros pour une commission</w:t>
            </w:r>
            <w:r w:rsidR="00D363A3">
              <w:rPr>
                <w:rFonts w:ascii="Century Gothic" w:hAnsi="Century Gothic"/>
                <w:sz w:val="24"/>
              </w:rPr>
              <w:t xml:space="preserve"> composée</w:t>
            </w:r>
            <w:r w:rsidRPr="00403A83">
              <w:rPr>
                <w:rFonts w:ascii="Century Gothic" w:hAnsi="Century Gothic"/>
                <w:sz w:val="24"/>
              </w:rPr>
              <w:t>, outre le président de 12 membres</w:t>
            </w:r>
            <w:r w:rsidR="005F7351" w:rsidRPr="00403A83">
              <w:rPr>
                <w:rFonts w:ascii="Century Gothic" w:hAnsi="Century Gothic"/>
                <w:sz w:val="24"/>
              </w:rPr>
              <w:t> ;</w:t>
            </w:r>
          </w:p>
          <w:p w:rsidR="00097658" w:rsidRPr="00403A83" w:rsidRDefault="00097658" w:rsidP="003A4063">
            <w:pPr>
              <w:numPr>
                <w:ilvl w:val="0"/>
                <w:numId w:val="1"/>
              </w:numPr>
              <w:jc w:val="both"/>
              <w:rPr>
                <w:rFonts w:ascii="Century Gothic" w:hAnsi="Century Gothic"/>
                <w:sz w:val="24"/>
              </w:rPr>
            </w:pPr>
            <w:r w:rsidRPr="00403A83">
              <w:rPr>
                <w:rFonts w:ascii="Century Gothic" w:hAnsi="Century Gothic"/>
                <w:sz w:val="24"/>
              </w:rPr>
              <w:t>6000 euros pour une commission</w:t>
            </w:r>
            <w:r w:rsidR="00D363A3">
              <w:rPr>
                <w:rFonts w:ascii="Century Gothic" w:hAnsi="Century Gothic"/>
                <w:sz w:val="24"/>
              </w:rPr>
              <w:t xml:space="preserve"> composée</w:t>
            </w:r>
            <w:r w:rsidRPr="00403A83">
              <w:rPr>
                <w:rFonts w:ascii="Century Gothic" w:hAnsi="Century Gothic"/>
                <w:sz w:val="24"/>
              </w:rPr>
              <w:t xml:space="preserve">, outre le président de 16 </w:t>
            </w:r>
            <w:r w:rsidR="005F7351" w:rsidRPr="00403A83">
              <w:rPr>
                <w:rFonts w:ascii="Century Gothic" w:hAnsi="Century Gothic"/>
                <w:sz w:val="24"/>
              </w:rPr>
              <w:t>membres</w:t>
            </w:r>
            <w:r w:rsidRPr="00403A83">
              <w:rPr>
                <w:rFonts w:ascii="Century Gothic" w:hAnsi="Century Gothic"/>
                <w:sz w:val="24"/>
              </w:rPr>
              <w:t>.</w:t>
            </w:r>
          </w:p>
          <w:p w:rsidR="00097658" w:rsidRPr="00403A83" w:rsidRDefault="00097658">
            <w:pPr>
              <w:jc w:val="both"/>
              <w:rPr>
                <w:rFonts w:ascii="Century Gothic" w:hAnsi="Century Gothic"/>
                <w:sz w:val="24"/>
              </w:rPr>
            </w:pPr>
            <w:r w:rsidRPr="00403A83">
              <w:rPr>
                <w:rFonts w:ascii="Century Gothic" w:hAnsi="Century Gothic"/>
                <w:sz w:val="24"/>
              </w:rPr>
              <w:t xml:space="preserve">à la commune dont la C.C.A.T.M. justifie, au cours de l’année précédant celle de la demande de subvention, de l’exercice régulier de ses compétences, du nombre minimum de réunions annuelles visé </w:t>
            </w:r>
            <w:r w:rsidRPr="00403A83">
              <w:rPr>
                <w:rFonts w:ascii="Century Gothic" w:hAnsi="Century Gothic"/>
                <w:color w:val="000000"/>
                <w:sz w:val="24"/>
              </w:rPr>
              <w:t>à l’article R.I.10-5, §4</w:t>
            </w:r>
            <w:r w:rsidR="001A65DF">
              <w:rPr>
                <w:rFonts w:ascii="Century Gothic" w:hAnsi="Century Gothic"/>
                <w:color w:val="000000"/>
                <w:sz w:val="24"/>
              </w:rPr>
              <w:t>,</w:t>
            </w:r>
            <w:r w:rsidRPr="00403A83">
              <w:rPr>
                <w:rFonts w:ascii="Century Gothic" w:hAnsi="Century Gothic"/>
                <w:color w:val="000000"/>
                <w:sz w:val="24"/>
              </w:rPr>
              <w:t xml:space="preserve"> du Co</w:t>
            </w:r>
            <w:r w:rsidR="00E34D9D">
              <w:rPr>
                <w:rFonts w:ascii="Century Gothic" w:hAnsi="Century Gothic"/>
                <w:color w:val="000000"/>
                <w:sz w:val="24"/>
              </w:rPr>
              <w:t>DT</w:t>
            </w:r>
            <w:r w:rsidRPr="00403A83">
              <w:rPr>
                <w:rFonts w:ascii="Century Gothic" w:hAnsi="Century Gothic"/>
                <w:sz w:val="24"/>
              </w:rPr>
              <w:t xml:space="preserve"> et qui justifie la participation du président</w:t>
            </w:r>
            <w:r w:rsidR="00D363A3">
              <w:rPr>
                <w:rFonts w:ascii="Century Gothic" w:hAnsi="Century Gothic"/>
                <w:sz w:val="24"/>
              </w:rPr>
              <w:t xml:space="preserve">, </w:t>
            </w:r>
            <w:r w:rsidRPr="00403A83">
              <w:rPr>
                <w:rFonts w:ascii="Century Gothic" w:hAnsi="Century Gothic"/>
                <w:sz w:val="24"/>
              </w:rPr>
              <w:t>des membres</w:t>
            </w:r>
            <w:r w:rsidR="00D363A3">
              <w:rPr>
                <w:rFonts w:ascii="Century Gothic" w:hAnsi="Century Gothic"/>
                <w:sz w:val="24"/>
              </w:rPr>
              <w:t xml:space="preserve"> ou du secrétaire</w:t>
            </w:r>
            <w:r w:rsidRPr="00403A83">
              <w:rPr>
                <w:rFonts w:ascii="Century Gothic" w:hAnsi="Century Gothic"/>
                <w:sz w:val="24"/>
              </w:rPr>
              <w:t xml:space="preserve"> à des formations</w:t>
            </w:r>
            <w:r w:rsidR="00D84025" w:rsidRPr="00403A83">
              <w:rPr>
                <w:rFonts w:ascii="Century Gothic" w:hAnsi="Century Gothic"/>
                <w:sz w:val="24"/>
              </w:rPr>
              <w:t xml:space="preserve"> en lien </w:t>
            </w:r>
            <w:r w:rsidRPr="00403A83">
              <w:rPr>
                <w:rFonts w:ascii="Century Gothic" w:hAnsi="Century Gothic"/>
                <w:sz w:val="24"/>
              </w:rPr>
              <w:t xml:space="preserve">avec leur mandat respectif. </w:t>
            </w:r>
          </w:p>
          <w:p w:rsidR="00097658" w:rsidRPr="00403A83" w:rsidRDefault="00097658">
            <w:pPr>
              <w:jc w:val="both"/>
              <w:rPr>
                <w:rFonts w:ascii="Century Gothic" w:hAnsi="Century Gothic"/>
                <w:sz w:val="24"/>
              </w:rPr>
            </w:pPr>
          </w:p>
          <w:p w:rsidR="00097658" w:rsidRPr="008B4375" w:rsidRDefault="00097658">
            <w:pPr>
              <w:jc w:val="both"/>
              <w:rPr>
                <w:rFonts w:ascii="Century Gothic" w:hAnsi="Century Gothic"/>
                <w:sz w:val="24"/>
              </w:rPr>
            </w:pPr>
            <w:r w:rsidRPr="00403A83">
              <w:rPr>
                <w:rFonts w:ascii="Century Gothic" w:hAnsi="Century Gothic"/>
                <w:sz w:val="24"/>
              </w:rPr>
              <w:t>Par exercice régulier de ses compétences, on entend, outre l’obligation de se réunir au moins le nombre de fois imposé par le Co</w:t>
            </w:r>
            <w:r w:rsidR="00E34D9D">
              <w:rPr>
                <w:rFonts w:ascii="Century Gothic" w:hAnsi="Century Gothic"/>
                <w:sz w:val="24"/>
              </w:rPr>
              <w:t>DT</w:t>
            </w:r>
            <w:r w:rsidRPr="00403A83">
              <w:rPr>
                <w:rFonts w:ascii="Century Gothic" w:hAnsi="Century Gothic"/>
                <w:sz w:val="24"/>
              </w:rPr>
              <w:t>, la présence de la moitié des membres plus un.</w:t>
            </w:r>
          </w:p>
          <w:p w:rsidR="00097658" w:rsidRPr="008B4375" w:rsidRDefault="00097658" w:rsidP="000F41A3">
            <w:pPr>
              <w:jc w:val="both"/>
              <w:rPr>
                <w:rFonts w:ascii="Century Gothic" w:hAnsi="Century Gothic"/>
                <w:sz w:val="24"/>
              </w:rPr>
            </w:pPr>
          </w:p>
          <w:p w:rsidR="00097658" w:rsidRPr="008B4375" w:rsidRDefault="00097658" w:rsidP="000F41A3">
            <w:pPr>
              <w:jc w:val="both"/>
              <w:rPr>
                <w:rFonts w:ascii="Century Gothic" w:hAnsi="Century Gothic"/>
                <w:sz w:val="24"/>
              </w:rPr>
            </w:pPr>
            <w:r w:rsidRPr="008B4375">
              <w:rPr>
                <w:rFonts w:ascii="Century Gothic" w:hAnsi="Century Gothic"/>
                <w:sz w:val="24"/>
              </w:rPr>
              <w:t xml:space="preserve">La Commission </w:t>
            </w:r>
            <w:r w:rsidR="00757425" w:rsidRPr="008B4375">
              <w:rPr>
                <w:rFonts w:ascii="Century Gothic" w:hAnsi="Century Gothic"/>
                <w:sz w:val="24"/>
              </w:rPr>
              <w:t>rédige</w:t>
            </w:r>
            <w:r w:rsidRPr="008B4375">
              <w:rPr>
                <w:rFonts w:ascii="Century Gothic" w:hAnsi="Century Gothic"/>
                <w:sz w:val="24"/>
              </w:rPr>
              <w:t xml:space="preserve"> un rapport d’activités</w:t>
            </w:r>
            <w:r w:rsidR="00757425" w:rsidRPr="008B4375">
              <w:rPr>
                <w:rFonts w:ascii="Century Gothic" w:hAnsi="Century Gothic"/>
                <w:sz w:val="24"/>
              </w:rPr>
              <w:t xml:space="preserve"> sur l’année écoulée.</w:t>
            </w:r>
            <w:r w:rsidRPr="008B4375">
              <w:rPr>
                <w:rFonts w:ascii="Century Gothic" w:hAnsi="Century Gothic"/>
                <w:sz w:val="24"/>
              </w:rPr>
              <w:t xml:space="preserve">  Celui-ci, réalisé sur la base des documents fournis par la DG</w:t>
            </w:r>
            <w:r w:rsidR="005F7351" w:rsidRPr="008B4375">
              <w:rPr>
                <w:rFonts w:ascii="Century Gothic" w:hAnsi="Century Gothic"/>
                <w:sz w:val="24"/>
              </w:rPr>
              <w:t>O</w:t>
            </w:r>
            <w:r w:rsidRPr="008B4375">
              <w:rPr>
                <w:rFonts w:ascii="Century Gothic" w:hAnsi="Century Gothic"/>
                <w:sz w:val="24"/>
              </w:rPr>
              <w:t xml:space="preserve">4. (Direction de l’aménagement local) ou via son site Internet, est transmis, </w:t>
            </w:r>
            <w:r w:rsidR="00CB4634" w:rsidRPr="008B4375">
              <w:rPr>
                <w:rFonts w:ascii="Century Gothic" w:hAnsi="Century Gothic"/>
                <w:sz w:val="24"/>
              </w:rPr>
              <w:t xml:space="preserve">au plus tard </w:t>
            </w:r>
            <w:r w:rsidR="00757425" w:rsidRPr="008B4375">
              <w:rPr>
                <w:rFonts w:ascii="Century Gothic" w:hAnsi="Century Gothic"/>
                <w:sz w:val="24"/>
              </w:rPr>
              <w:t xml:space="preserve">le 31 mars de l’année qui suit l’exercice écoulé </w:t>
            </w:r>
            <w:r w:rsidRPr="008B4375">
              <w:rPr>
                <w:rFonts w:ascii="Century Gothic" w:hAnsi="Century Gothic"/>
                <w:sz w:val="24"/>
              </w:rPr>
              <w:t>à la D.G.O4.</w:t>
            </w:r>
          </w:p>
          <w:p w:rsidR="00097658" w:rsidRPr="00403A83" w:rsidRDefault="00097658">
            <w:pPr>
              <w:jc w:val="both"/>
              <w:rPr>
                <w:rFonts w:ascii="Century Gothic" w:hAnsi="Century Gothic"/>
                <w:sz w:val="24"/>
              </w:rPr>
            </w:pPr>
            <w:r w:rsidRPr="00403A83">
              <w:rPr>
                <w:rFonts w:ascii="Century Gothic" w:hAnsi="Century Gothic"/>
                <w:sz w:val="24"/>
              </w:rPr>
              <w:t>C’est sur la base du rapport d’activités, du tableau des présence</w:t>
            </w:r>
            <w:r w:rsidR="00CB4634" w:rsidRPr="00403A83">
              <w:rPr>
                <w:rFonts w:ascii="Century Gothic" w:hAnsi="Century Gothic"/>
                <w:sz w:val="24"/>
              </w:rPr>
              <w:t>s, du</w:t>
            </w:r>
            <w:r w:rsidRPr="00403A83">
              <w:rPr>
                <w:rFonts w:ascii="Century Gothic" w:hAnsi="Century Gothic"/>
                <w:sz w:val="24"/>
              </w:rPr>
              <w:t xml:space="preserve"> justificatif des frais inhérents à l’organisation des formation</w:t>
            </w:r>
            <w:r w:rsidR="00CB4634" w:rsidRPr="00403A83">
              <w:rPr>
                <w:rFonts w:ascii="Century Gothic" w:hAnsi="Century Gothic"/>
                <w:sz w:val="24"/>
              </w:rPr>
              <w:t>s</w:t>
            </w:r>
            <w:r w:rsidRPr="00403A83">
              <w:rPr>
                <w:rFonts w:ascii="Century Gothic" w:hAnsi="Century Gothic"/>
                <w:sz w:val="24"/>
              </w:rPr>
              <w:t xml:space="preserve"> ainsi qu</w:t>
            </w:r>
            <w:r w:rsidR="00CB4634" w:rsidRPr="00403A83">
              <w:rPr>
                <w:rFonts w:ascii="Century Gothic" w:hAnsi="Century Gothic"/>
                <w:sz w:val="24"/>
              </w:rPr>
              <w:t>e d</w:t>
            </w:r>
            <w:r w:rsidRPr="00403A83">
              <w:rPr>
                <w:rFonts w:ascii="Century Gothic" w:hAnsi="Century Gothic"/>
                <w:sz w:val="24"/>
              </w:rPr>
              <w:t>’un relevé des dépenses que la subv</w:t>
            </w:r>
            <w:r w:rsidR="00E34D9D">
              <w:rPr>
                <w:rFonts w:ascii="Century Gothic" w:hAnsi="Century Gothic"/>
                <w:sz w:val="24"/>
              </w:rPr>
              <w:t xml:space="preserve">ention visée aux </w:t>
            </w:r>
            <w:r w:rsidRPr="00403A83">
              <w:rPr>
                <w:rFonts w:ascii="Century Gothic" w:hAnsi="Century Gothic"/>
                <w:sz w:val="24"/>
              </w:rPr>
              <w:t>article</w:t>
            </w:r>
            <w:r w:rsidR="00E34D9D">
              <w:rPr>
                <w:rFonts w:ascii="Century Gothic" w:hAnsi="Century Gothic"/>
                <w:sz w:val="24"/>
              </w:rPr>
              <w:t>s</w:t>
            </w:r>
            <w:r w:rsidRPr="00403A83">
              <w:rPr>
                <w:rFonts w:ascii="Century Gothic" w:hAnsi="Century Gothic"/>
                <w:sz w:val="24"/>
              </w:rPr>
              <w:t xml:space="preserve"> </w:t>
            </w:r>
            <w:r w:rsidR="001A65DF">
              <w:rPr>
                <w:rFonts w:ascii="Century Gothic" w:hAnsi="Century Gothic"/>
                <w:sz w:val="24"/>
              </w:rPr>
              <w:t>D.I</w:t>
            </w:r>
            <w:r w:rsidRPr="00403A83">
              <w:rPr>
                <w:rFonts w:ascii="Century Gothic" w:hAnsi="Century Gothic"/>
                <w:sz w:val="24"/>
              </w:rPr>
              <w:t>.12,</w:t>
            </w:r>
            <w:r w:rsidR="001A65DF">
              <w:rPr>
                <w:rFonts w:ascii="Century Gothic" w:hAnsi="Century Gothic"/>
                <w:sz w:val="24"/>
              </w:rPr>
              <w:t>al.1</w:t>
            </w:r>
            <w:r w:rsidR="001A65DF" w:rsidRPr="001A65DF">
              <w:rPr>
                <w:rFonts w:ascii="Century Gothic" w:hAnsi="Century Gothic"/>
                <w:sz w:val="24"/>
                <w:vertAlign w:val="superscript"/>
              </w:rPr>
              <w:t>er</w:t>
            </w:r>
            <w:r w:rsidR="001A65DF">
              <w:rPr>
                <w:rFonts w:ascii="Century Gothic" w:hAnsi="Century Gothic"/>
                <w:sz w:val="24"/>
              </w:rPr>
              <w:t>,6° et</w:t>
            </w:r>
            <w:r w:rsidRPr="00403A83">
              <w:rPr>
                <w:rFonts w:ascii="Century Gothic" w:hAnsi="Century Gothic"/>
                <w:sz w:val="24"/>
              </w:rPr>
              <w:t xml:space="preserve"> </w:t>
            </w:r>
            <w:r w:rsidR="00FC1EDF">
              <w:rPr>
                <w:rFonts w:ascii="Century Gothic" w:hAnsi="Century Gothic"/>
                <w:sz w:val="24"/>
              </w:rPr>
              <w:t>R.I.12-</w:t>
            </w:r>
            <w:r w:rsidR="00E34D9D">
              <w:rPr>
                <w:rFonts w:ascii="Century Gothic" w:hAnsi="Century Gothic"/>
                <w:sz w:val="24"/>
              </w:rPr>
              <w:t xml:space="preserve">6 </w:t>
            </w:r>
            <w:r w:rsidRPr="00403A83">
              <w:rPr>
                <w:rFonts w:ascii="Century Gothic" w:hAnsi="Century Gothic"/>
                <w:sz w:val="24"/>
              </w:rPr>
              <w:t xml:space="preserve"> sera, le cas échéant, allouée.</w:t>
            </w:r>
          </w:p>
          <w:p w:rsidR="0002674B" w:rsidRPr="00403A83" w:rsidRDefault="0002674B">
            <w:pPr>
              <w:jc w:val="both"/>
              <w:rPr>
                <w:rFonts w:ascii="Century Gothic" w:hAnsi="Century Gothic"/>
                <w:sz w:val="24"/>
              </w:rPr>
            </w:pPr>
          </w:p>
        </w:tc>
      </w:tr>
      <w:tr w:rsidR="00097658" w:rsidRPr="004F3F69" w:rsidTr="001A7B67">
        <w:tc>
          <w:tcPr>
            <w:tcW w:w="9426" w:type="dxa"/>
          </w:tcPr>
          <w:p w:rsidR="00F50D55" w:rsidRPr="00403A83" w:rsidRDefault="00097658">
            <w:pPr>
              <w:jc w:val="both"/>
              <w:rPr>
                <w:rFonts w:ascii="Century Gothic" w:hAnsi="Century Gothic"/>
                <w:sz w:val="24"/>
              </w:rPr>
            </w:pPr>
            <w:r w:rsidRPr="00403A83">
              <w:rPr>
                <w:rFonts w:ascii="Century Gothic" w:hAnsi="Century Gothic"/>
                <w:b/>
                <w:sz w:val="24"/>
                <w:u w:val="single"/>
              </w:rPr>
              <w:t>Art. 18 – Local</w:t>
            </w:r>
            <w:r w:rsidRPr="00403A83">
              <w:rPr>
                <w:rFonts w:ascii="Century Gothic" w:hAnsi="Century Gothic"/>
                <w:sz w:val="24"/>
              </w:rPr>
              <w:t xml:space="preserve"> </w:t>
            </w:r>
          </w:p>
          <w:p w:rsidR="00D84025" w:rsidRPr="00403A83" w:rsidRDefault="00097658" w:rsidP="00960E91">
            <w:pPr>
              <w:jc w:val="both"/>
              <w:rPr>
                <w:rFonts w:ascii="Century Gothic" w:hAnsi="Century Gothic"/>
                <w:sz w:val="24"/>
              </w:rPr>
            </w:pPr>
            <w:r w:rsidRPr="00403A83">
              <w:rPr>
                <w:rFonts w:ascii="Century Gothic" w:hAnsi="Century Gothic"/>
                <w:sz w:val="24"/>
              </w:rPr>
              <w:t>Le collège communal met un local équipé à la disposition de la commission.</w:t>
            </w:r>
          </w:p>
        </w:tc>
      </w:tr>
    </w:tbl>
    <w:p w:rsidR="00102B30" w:rsidRPr="004F3F69" w:rsidRDefault="00102B30" w:rsidP="00F50D55">
      <w:pPr>
        <w:rPr>
          <w:rFonts w:ascii="Century Gothic" w:hAnsi="Century Gothic"/>
          <w:sz w:val="24"/>
        </w:rPr>
      </w:pPr>
    </w:p>
    <w:sectPr w:rsidR="00102B30" w:rsidRPr="004F3F69" w:rsidSect="00F9088C">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1F" w:rsidRDefault="0001101F">
      <w:r>
        <w:separator/>
      </w:r>
    </w:p>
  </w:endnote>
  <w:endnote w:type="continuationSeparator" w:id="0">
    <w:p w:rsidR="0001101F" w:rsidRDefault="00011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1" w:rsidRDefault="00B9229E">
    <w:pPr>
      <w:pStyle w:val="Pieddepage"/>
      <w:framePr w:wrap="around" w:vAnchor="text" w:hAnchor="margin" w:xAlign="right" w:y="1"/>
      <w:rPr>
        <w:rStyle w:val="Numrodepage"/>
      </w:rPr>
    </w:pPr>
    <w:r>
      <w:rPr>
        <w:rStyle w:val="Numrodepage"/>
      </w:rPr>
      <w:fldChar w:fldCharType="begin"/>
    </w:r>
    <w:r w:rsidR="00960E91">
      <w:rPr>
        <w:rStyle w:val="Numrodepage"/>
      </w:rPr>
      <w:instrText xml:space="preserve">PAGE  </w:instrText>
    </w:r>
    <w:r>
      <w:rPr>
        <w:rStyle w:val="Numrodepage"/>
      </w:rPr>
      <w:fldChar w:fldCharType="end"/>
    </w:r>
  </w:p>
  <w:p w:rsidR="00960E91" w:rsidRDefault="00960E9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1" w:rsidRDefault="00B9229E">
    <w:pPr>
      <w:pStyle w:val="Pieddepage"/>
      <w:framePr w:wrap="around" w:vAnchor="text" w:hAnchor="margin" w:xAlign="right" w:y="1"/>
      <w:rPr>
        <w:rStyle w:val="Numrodepage"/>
      </w:rPr>
    </w:pPr>
    <w:r>
      <w:rPr>
        <w:rStyle w:val="Numrodepage"/>
      </w:rPr>
      <w:fldChar w:fldCharType="begin"/>
    </w:r>
    <w:r w:rsidR="00960E91">
      <w:rPr>
        <w:rStyle w:val="Numrodepage"/>
      </w:rPr>
      <w:instrText xml:space="preserve">PAGE  </w:instrText>
    </w:r>
    <w:r>
      <w:rPr>
        <w:rStyle w:val="Numrodepage"/>
      </w:rPr>
      <w:fldChar w:fldCharType="separate"/>
    </w:r>
    <w:r w:rsidR="00D34745">
      <w:rPr>
        <w:rStyle w:val="Numrodepage"/>
        <w:noProof/>
      </w:rPr>
      <w:t>5</w:t>
    </w:r>
    <w:r>
      <w:rPr>
        <w:rStyle w:val="Numrodepage"/>
      </w:rPr>
      <w:fldChar w:fldCharType="end"/>
    </w:r>
  </w:p>
  <w:p w:rsidR="00960E91" w:rsidRDefault="00960E9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1F" w:rsidRDefault="0001101F">
      <w:r>
        <w:separator/>
      </w:r>
    </w:p>
  </w:footnote>
  <w:footnote w:type="continuationSeparator" w:id="0">
    <w:p w:rsidR="0001101F" w:rsidRDefault="00011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9E" w:rsidRDefault="00B9229E">
    <w:pPr>
      <w:pStyle w:val="En-tte"/>
      <w:numPr>
        <w:ilvl w:val="0"/>
        <w:numId w:val="2"/>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DB1"/>
    <w:multiLevelType w:val="hybridMultilevel"/>
    <w:tmpl w:val="D2A48DDC"/>
    <w:lvl w:ilvl="0" w:tplc="DFFAFF68">
      <w:start w:val="106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75B62B8"/>
    <w:multiLevelType w:val="singleLevel"/>
    <w:tmpl w:val="108076D8"/>
    <w:lvl w:ilvl="0">
      <w:start w:val="1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2B30"/>
    <w:rsid w:val="000076FC"/>
    <w:rsid w:val="0001101F"/>
    <w:rsid w:val="0002674B"/>
    <w:rsid w:val="000645E6"/>
    <w:rsid w:val="00066508"/>
    <w:rsid w:val="00070990"/>
    <w:rsid w:val="000769FF"/>
    <w:rsid w:val="00083BAD"/>
    <w:rsid w:val="00090970"/>
    <w:rsid w:val="00092E64"/>
    <w:rsid w:val="00097658"/>
    <w:rsid w:val="000F3838"/>
    <w:rsid w:val="000F41A3"/>
    <w:rsid w:val="000F716A"/>
    <w:rsid w:val="00102B30"/>
    <w:rsid w:val="001427FB"/>
    <w:rsid w:val="00145D80"/>
    <w:rsid w:val="001A65DF"/>
    <w:rsid w:val="001A7B67"/>
    <w:rsid w:val="001E0672"/>
    <w:rsid w:val="001E596A"/>
    <w:rsid w:val="001E6B18"/>
    <w:rsid w:val="00274F26"/>
    <w:rsid w:val="002860BF"/>
    <w:rsid w:val="00350D03"/>
    <w:rsid w:val="00354E7E"/>
    <w:rsid w:val="003A4063"/>
    <w:rsid w:val="00403915"/>
    <w:rsid w:val="00403A83"/>
    <w:rsid w:val="00457180"/>
    <w:rsid w:val="004861DD"/>
    <w:rsid w:val="004A4C67"/>
    <w:rsid w:val="004A669B"/>
    <w:rsid w:val="004B6250"/>
    <w:rsid w:val="004F3F69"/>
    <w:rsid w:val="00502BDA"/>
    <w:rsid w:val="0051509D"/>
    <w:rsid w:val="005422CA"/>
    <w:rsid w:val="005452AF"/>
    <w:rsid w:val="005454F7"/>
    <w:rsid w:val="00596B6D"/>
    <w:rsid w:val="005A5200"/>
    <w:rsid w:val="005C6C36"/>
    <w:rsid w:val="005D1201"/>
    <w:rsid w:val="005E4927"/>
    <w:rsid w:val="005F7351"/>
    <w:rsid w:val="005F7921"/>
    <w:rsid w:val="00607FD9"/>
    <w:rsid w:val="0061037C"/>
    <w:rsid w:val="0061077E"/>
    <w:rsid w:val="006139F8"/>
    <w:rsid w:val="00623A17"/>
    <w:rsid w:val="006266B1"/>
    <w:rsid w:val="006317A2"/>
    <w:rsid w:val="0064682E"/>
    <w:rsid w:val="00665B11"/>
    <w:rsid w:val="006661E9"/>
    <w:rsid w:val="00666AD3"/>
    <w:rsid w:val="0068336B"/>
    <w:rsid w:val="00691359"/>
    <w:rsid w:val="006D3DD6"/>
    <w:rsid w:val="006D7043"/>
    <w:rsid w:val="006E7C1B"/>
    <w:rsid w:val="00730C3A"/>
    <w:rsid w:val="00757425"/>
    <w:rsid w:val="007827A5"/>
    <w:rsid w:val="007A11AF"/>
    <w:rsid w:val="007C2277"/>
    <w:rsid w:val="007C7076"/>
    <w:rsid w:val="0081276A"/>
    <w:rsid w:val="00831D25"/>
    <w:rsid w:val="00874204"/>
    <w:rsid w:val="008B4375"/>
    <w:rsid w:val="00907C5D"/>
    <w:rsid w:val="00960E91"/>
    <w:rsid w:val="009620DD"/>
    <w:rsid w:val="009E307D"/>
    <w:rsid w:val="00A06DE5"/>
    <w:rsid w:val="00A35066"/>
    <w:rsid w:val="00A4147C"/>
    <w:rsid w:val="00A41EC2"/>
    <w:rsid w:val="00A55500"/>
    <w:rsid w:val="00A748E3"/>
    <w:rsid w:val="00A97012"/>
    <w:rsid w:val="00B0165B"/>
    <w:rsid w:val="00B73769"/>
    <w:rsid w:val="00B9229E"/>
    <w:rsid w:val="00BA4BFE"/>
    <w:rsid w:val="00BD5A05"/>
    <w:rsid w:val="00BF7FFB"/>
    <w:rsid w:val="00C03043"/>
    <w:rsid w:val="00C111DE"/>
    <w:rsid w:val="00C20BEA"/>
    <w:rsid w:val="00C22131"/>
    <w:rsid w:val="00C4614C"/>
    <w:rsid w:val="00C63488"/>
    <w:rsid w:val="00CA527C"/>
    <w:rsid w:val="00CB4634"/>
    <w:rsid w:val="00D06A70"/>
    <w:rsid w:val="00D23831"/>
    <w:rsid w:val="00D31035"/>
    <w:rsid w:val="00D34745"/>
    <w:rsid w:val="00D363A3"/>
    <w:rsid w:val="00D84025"/>
    <w:rsid w:val="00DA68B8"/>
    <w:rsid w:val="00DB0AC7"/>
    <w:rsid w:val="00DB11D8"/>
    <w:rsid w:val="00DC6B53"/>
    <w:rsid w:val="00DD298C"/>
    <w:rsid w:val="00DF46A0"/>
    <w:rsid w:val="00E34D9D"/>
    <w:rsid w:val="00E615CA"/>
    <w:rsid w:val="00E8333D"/>
    <w:rsid w:val="00E96B4B"/>
    <w:rsid w:val="00F50D55"/>
    <w:rsid w:val="00F57F32"/>
    <w:rsid w:val="00F81B29"/>
    <w:rsid w:val="00F9088C"/>
    <w:rsid w:val="00FC1EDF"/>
    <w:rsid w:val="00FD0109"/>
    <w:rsid w:val="00FD7708"/>
    <w:rsid w:val="00FD7E77"/>
    <w:rsid w:val="00FF75C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8C"/>
    <w:rPr>
      <w:lang w:val="fr-FR"/>
    </w:rPr>
  </w:style>
  <w:style w:type="paragraph" w:styleId="Titre1">
    <w:name w:val="heading 1"/>
    <w:basedOn w:val="Normal"/>
    <w:next w:val="Normal"/>
    <w:qFormat/>
    <w:rsid w:val="00F9088C"/>
    <w:pPr>
      <w:keepNext/>
      <w:jc w:val="both"/>
      <w:outlineLvl w:val="0"/>
    </w:pPr>
    <w:rPr>
      <w:sz w:val="24"/>
    </w:rPr>
  </w:style>
  <w:style w:type="paragraph" w:styleId="Titre2">
    <w:name w:val="heading 2"/>
    <w:basedOn w:val="Normal"/>
    <w:next w:val="Normal"/>
    <w:qFormat/>
    <w:rsid w:val="00F9088C"/>
    <w:pPr>
      <w:keepNext/>
      <w:jc w:val="both"/>
      <w:outlineLvl w:val="1"/>
    </w:pPr>
    <w:rPr>
      <w:b/>
      <w:i/>
      <w:sz w:val="24"/>
      <w:u w:val="single"/>
    </w:rPr>
  </w:style>
  <w:style w:type="paragraph" w:styleId="Titre3">
    <w:name w:val="heading 3"/>
    <w:basedOn w:val="Normal"/>
    <w:next w:val="Normal"/>
    <w:qFormat/>
    <w:rsid w:val="00F9088C"/>
    <w:pPr>
      <w:keepNext/>
      <w:jc w:val="both"/>
      <w:outlineLvl w:val="2"/>
    </w:pPr>
    <w:rPr>
      <w:b/>
      <w:i/>
      <w:sz w:val="24"/>
    </w:rPr>
  </w:style>
  <w:style w:type="paragraph" w:styleId="Titre4">
    <w:name w:val="heading 4"/>
    <w:basedOn w:val="Normal"/>
    <w:next w:val="Normal"/>
    <w:qFormat/>
    <w:rsid w:val="00F9088C"/>
    <w:pPr>
      <w:keepNext/>
      <w:ind w:firstLine="5812"/>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F9088C"/>
    <w:pPr>
      <w:tabs>
        <w:tab w:val="center" w:pos="4536"/>
        <w:tab w:val="right" w:pos="9072"/>
      </w:tabs>
    </w:pPr>
  </w:style>
  <w:style w:type="character" w:styleId="Numrodepage">
    <w:name w:val="page number"/>
    <w:basedOn w:val="Policepardfaut"/>
    <w:semiHidden/>
    <w:rsid w:val="00F9088C"/>
  </w:style>
  <w:style w:type="paragraph" w:styleId="Corpsdetexte">
    <w:name w:val="Body Text"/>
    <w:basedOn w:val="Normal"/>
    <w:semiHidden/>
    <w:rsid w:val="00F9088C"/>
    <w:pPr>
      <w:jc w:val="both"/>
    </w:pPr>
    <w:rPr>
      <w:sz w:val="24"/>
    </w:rPr>
  </w:style>
  <w:style w:type="paragraph" w:styleId="Corpsdetexte2">
    <w:name w:val="Body Text 2"/>
    <w:basedOn w:val="Normal"/>
    <w:semiHidden/>
    <w:rsid w:val="00F9088C"/>
    <w:rPr>
      <w:i/>
      <w:sz w:val="24"/>
    </w:rPr>
  </w:style>
  <w:style w:type="paragraph" w:styleId="Corpsdetexte3">
    <w:name w:val="Body Text 3"/>
    <w:basedOn w:val="Normal"/>
    <w:semiHidden/>
    <w:rsid w:val="00F9088C"/>
    <w:pPr>
      <w:jc w:val="both"/>
    </w:pPr>
    <w:rPr>
      <w:i/>
      <w:sz w:val="24"/>
    </w:rPr>
  </w:style>
  <w:style w:type="paragraph" w:styleId="En-tte">
    <w:name w:val="header"/>
    <w:basedOn w:val="Normal"/>
    <w:link w:val="En-tteCar"/>
    <w:uiPriority w:val="99"/>
    <w:rsid w:val="00F9088C"/>
    <w:pPr>
      <w:tabs>
        <w:tab w:val="center" w:pos="4536"/>
        <w:tab w:val="right" w:pos="9072"/>
      </w:tabs>
    </w:pPr>
  </w:style>
  <w:style w:type="paragraph" w:styleId="Retraitcorpsdetexte">
    <w:name w:val="Body Text Indent"/>
    <w:basedOn w:val="Normal"/>
    <w:semiHidden/>
    <w:rsid w:val="00F9088C"/>
    <w:pPr>
      <w:ind w:firstLine="4820"/>
    </w:pPr>
    <w:rPr>
      <w:b/>
      <w:sz w:val="24"/>
    </w:rPr>
  </w:style>
  <w:style w:type="paragraph" w:styleId="Paragraphedeliste">
    <w:name w:val="List Paragraph"/>
    <w:basedOn w:val="Normal"/>
    <w:qFormat/>
    <w:rsid w:val="00F9088C"/>
    <w:pPr>
      <w:ind w:left="708"/>
    </w:pPr>
  </w:style>
  <w:style w:type="paragraph" w:styleId="Notedebasdepage">
    <w:name w:val="footnote text"/>
    <w:basedOn w:val="Normal"/>
    <w:link w:val="NotedebasdepageCar"/>
    <w:uiPriority w:val="99"/>
    <w:semiHidden/>
    <w:unhideWhenUsed/>
    <w:rsid w:val="00102B30"/>
  </w:style>
  <w:style w:type="character" w:customStyle="1" w:styleId="NotedebasdepageCar">
    <w:name w:val="Note de bas de page Car"/>
    <w:basedOn w:val="Policepardfaut"/>
    <w:link w:val="Notedebasdepage"/>
    <w:uiPriority w:val="99"/>
    <w:semiHidden/>
    <w:rsid w:val="00102B30"/>
    <w:rPr>
      <w:lang w:val="fr-FR"/>
    </w:rPr>
  </w:style>
  <w:style w:type="character" w:styleId="Appelnotedebasdep">
    <w:name w:val="footnote reference"/>
    <w:basedOn w:val="Policepardfaut"/>
    <w:uiPriority w:val="99"/>
    <w:semiHidden/>
    <w:unhideWhenUsed/>
    <w:rsid w:val="00102B30"/>
    <w:rPr>
      <w:vertAlign w:val="superscript"/>
    </w:rPr>
  </w:style>
  <w:style w:type="paragraph" w:styleId="Textedebulles">
    <w:name w:val="Balloon Text"/>
    <w:basedOn w:val="Normal"/>
    <w:link w:val="TextedebullesCar"/>
    <w:uiPriority w:val="99"/>
    <w:semiHidden/>
    <w:unhideWhenUsed/>
    <w:rsid w:val="008B4375"/>
    <w:rPr>
      <w:rFonts w:ascii="Tahoma" w:hAnsi="Tahoma" w:cs="Tahoma"/>
      <w:sz w:val="16"/>
      <w:szCs w:val="16"/>
    </w:rPr>
  </w:style>
  <w:style w:type="character" w:customStyle="1" w:styleId="TextedebullesCar">
    <w:name w:val="Texte de bulles Car"/>
    <w:basedOn w:val="Policepardfaut"/>
    <w:link w:val="Textedebulles"/>
    <w:uiPriority w:val="99"/>
    <w:semiHidden/>
    <w:rsid w:val="008B4375"/>
    <w:rPr>
      <w:rFonts w:ascii="Tahoma" w:hAnsi="Tahoma" w:cs="Tahoma"/>
      <w:sz w:val="16"/>
      <w:szCs w:val="16"/>
      <w:lang w:val="fr-FR"/>
    </w:rPr>
  </w:style>
  <w:style w:type="character" w:customStyle="1" w:styleId="En-tteCar">
    <w:name w:val="En-tête Car"/>
    <w:basedOn w:val="Policepardfaut"/>
    <w:link w:val="En-tte"/>
    <w:uiPriority w:val="99"/>
    <w:rsid w:val="005422CA"/>
    <w:rPr>
      <w:lang w:val="fr-FR"/>
    </w:rPr>
  </w:style>
  <w:style w:type="character" w:styleId="Marquedecommentaire">
    <w:name w:val="annotation reference"/>
    <w:basedOn w:val="Policepardfaut"/>
    <w:uiPriority w:val="99"/>
    <w:semiHidden/>
    <w:unhideWhenUsed/>
    <w:rsid w:val="00E96B4B"/>
    <w:rPr>
      <w:sz w:val="16"/>
      <w:szCs w:val="16"/>
    </w:rPr>
  </w:style>
  <w:style w:type="paragraph" w:styleId="Commentaire">
    <w:name w:val="annotation text"/>
    <w:basedOn w:val="Normal"/>
    <w:link w:val="CommentaireCar"/>
    <w:uiPriority w:val="99"/>
    <w:semiHidden/>
    <w:unhideWhenUsed/>
    <w:rsid w:val="00E96B4B"/>
  </w:style>
  <w:style w:type="character" w:customStyle="1" w:styleId="CommentaireCar">
    <w:name w:val="Commentaire Car"/>
    <w:basedOn w:val="Policepardfaut"/>
    <w:link w:val="Commentaire"/>
    <w:uiPriority w:val="99"/>
    <w:semiHidden/>
    <w:rsid w:val="00E96B4B"/>
    <w:rPr>
      <w:lang w:val="fr-FR"/>
    </w:rPr>
  </w:style>
  <w:style w:type="paragraph" w:styleId="Objetducommentaire">
    <w:name w:val="annotation subject"/>
    <w:basedOn w:val="Commentaire"/>
    <w:next w:val="Commentaire"/>
    <w:link w:val="ObjetducommentaireCar"/>
    <w:uiPriority w:val="99"/>
    <w:semiHidden/>
    <w:unhideWhenUsed/>
    <w:rsid w:val="00E96B4B"/>
    <w:rPr>
      <w:b/>
      <w:bCs/>
    </w:rPr>
  </w:style>
  <w:style w:type="character" w:customStyle="1" w:styleId="ObjetducommentaireCar">
    <w:name w:val="Objet du commentaire Car"/>
    <w:basedOn w:val="CommentaireCar"/>
    <w:link w:val="Objetducommentaire"/>
    <w:uiPriority w:val="99"/>
    <w:semiHidden/>
    <w:rsid w:val="00E96B4B"/>
    <w:rPr>
      <w:b/>
      <w:bCs/>
    </w:rPr>
  </w:style>
  <w:style w:type="paragraph" w:styleId="Rvision">
    <w:name w:val="Revision"/>
    <w:hidden/>
    <w:uiPriority w:val="99"/>
    <w:semiHidden/>
    <w:rsid w:val="00B73769"/>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748FC-35BF-4C4D-8DD5-009AE44A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1772</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TITRE I. Constitution de la Commission</vt:lpstr>
    </vt:vector>
  </TitlesOfParts>
  <Company>M.R.W.</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I. Constitution de la Commission</dc:title>
  <dc:creator>M.R.W.</dc:creator>
  <cp:lastModifiedBy>125001</cp:lastModifiedBy>
  <cp:revision>2</cp:revision>
  <cp:lastPrinted>2018-11-08T10:28:00Z</cp:lastPrinted>
  <dcterms:created xsi:type="dcterms:W3CDTF">2019-01-08T09:18:00Z</dcterms:created>
  <dcterms:modified xsi:type="dcterms:W3CDTF">2019-01-08T09:18:00Z</dcterms:modified>
</cp:coreProperties>
</file>