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drawing>
          <wp:anchor behindDoc="0" distT="0" distB="0" distL="0" distR="0" simplePos="0" locked="0" layoutInCell="0" allowOverlap="1" relativeHeight="3">
            <wp:simplePos x="0" y="0"/>
            <wp:positionH relativeFrom="column">
              <wp:posOffset>-178435</wp:posOffset>
            </wp:positionH>
            <wp:positionV relativeFrom="paragraph">
              <wp:posOffset>169545</wp:posOffset>
            </wp:positionV>
            <wp:extent cx="3054985" cy="1090295"/>
            <wp:effectExtent l="0" t="0" r="0" b="0"/>
            <wp:wrapSquare wrapText="largest"/>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3054985" cy="1090295"/>
                    </a:xfrm>
                    <a:prstGeom prst="rect">
                      <a:avLst/>
                    </a:prstGeom>
                  </pic:spPr>
                </pic:pic>
              </a:graphicData>
            </a:graphic>
          </wp:anchor>
        </w:drawing>
        <w:drawing>
          <wp:inline distT="0" distB="0" distL="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sz w:val="40"/>
          <w:szCs w:val="40"/>
          <w:lang w:val="fr-FR" w:eastAsia="fr-FR"/>
        </w:rPr>
      </w:pPr>
      <w:r>
        <w:rPr>
          <w:rFonts w:eastAsia="Times New Roman" w:cs="Times New Roman" w:ascii="Calibri" w:hAnsi="Calibri"/>
          <w:b/>
          <w:sz w:val="40"/>
          <w:szCs w:val="40"/>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d’urbanisation ou de modification de permis d’urbanisation avec contenu simplifié</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sz w:val="40"/>
          <w:szCs w:val="40"/>
          <w:lang w:val="fr-FR" w:eastAsia="fr-FR"/>
        </w:rPr>
      </w:pPr>
      <w:r>
        <w:rPr>
          <w:rFonts w:eastAsia="Times New Roman" w:cs="Times New Roman" w:ascii="Calibri" w:hAnsi="Calibri"/>
          <w:b/>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tcBorders>
            <w:shd w:color="auto" w:fill="F2DBDB" w:themeFill="accent2" w:themeFillTint="33" w:val="clear"/>
          </w:tcPr>
          <w:p>
            <w:pPr>
              <w:pStyle w:val="Normal"/>
              <w:widowControl/>
              <w:spacing w:before="0" w:after="0"/>
              <w:jc w:val="center"/>
              <w:rPr>
                <w:rFonts w:ascii="Calibri" w:hAnsi="Calibri" w:eastAsia="Times New Roman" w:cs="Times New Roman" w:asciiTheme="minorHAnsi" w:hAnsiTheme="minorHAnsi"/>
                <w:b/>
                <w:smallCaps/>
                <w:sz w:val="24"/>
                <w:szCs w:val="24"/>
                <w:lang w:val="fr-FR" w:eastAsia="fr-FR"/>
              </w:rPr>
            </w:pPr>
            <w:r>
              <w:rPr>
                <w:rFonts w:eastAsia="Times New Roman" w:cs="Times New Roman" w:ascii="Calibri" w:hAnsi="Calibri" w:asciiTheme="minorHAnsi" w:hAnsiTheme="minorHAnsi"/>
                <w:b/>
                <w:smallCaps/>
                <w:kern w:val="0"/>
                <w:sz w:val="24"/>
                <w:szCs w:val="24"/>
                <w:lang w:val="fr-FR" w:eastAsia="fr-FR" w:bidi="ar-SA"/>
              </w:rPr>
              <w:t>Cadre réservé à la commune ou au fonctionnaire délégué</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left"/>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Demandeur</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Objet de la demande</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Référence dossier</w:t>
            </w:r>
          </w:p>
          <w:p>
            <w:pPr>
              <w:pStyle w:val="Normal"/>
              <w:widowControl/>
              <w:spacing w:before="0" w:after="0"/>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left"/>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kern w:val="0"/>
                <w:sz w:val="36"/>
                <w:szCs w:val="36"/>
                <w:lang w:val="fr-FR" w:eastAsia="fr-FR" w:bidi="ar-SA"/>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rFonts w:ascii="Calibri" w:hAnsi="Calibri" w:eastAsia="Times New Roman" w:cs="Times New Roman" w:asciiTheme="minorHAnsi" w:hAnsiTheme="minorHAnsi"/>
          <w:b/>
          <w:sz w:val="36"/>
          <w:szCs w:val="36"/>
          <w:lang w:val="fr-FR" w:eastAsia="fr-FR"/>
        </w:rPr>
      </w:pPr>
      <w:r>
        <w:fldChar w:fldCharType="begin"/>
      </w:r>
      <w:r>
        <w:rPr>
          <w:sz w:val="36"/>
          <w:szCs w:val="36"/>
          <w:rFonts w:ascii="Calibri" w:hAnsi="Calibri"/>
        </w:rPr>
        <w:instrText xml:space="preserve">USERADDRESS   \* MERGEFORMAT</w:instrText>
      </w:r>
      <w:r>
        <w:rPr>
          <w:rFonts w:ascii="Calibri" w:hAnsi="Calibri"/>
          <w:sz w:val="36"/>
          <w:szCs w:val="36"/>
        </w:rPr>
      </w:r>
      <w:r>
        <w:rPr>
          <w:sz w:val="36"/>
          <w:szCs w:val="36"/>
          <w:rFonts w:ascii="Calibri" w:hAnsi="Calibri"/>
        </w:rPr>
        <w:fldChar w:fldCharType="separate"/>
      </w:r>
      <w:r>
        <w:rPr>
          <w:rFonts w:ascii="Calibri" w:hAnsi="Calibri"/>
          <w:sz w:val="36"/>
          <w:szCs w:val="36"/>
        </w:rPr>
      </w:r>
      <w:r>
        <w:rPr>
          <w:rFonts w:ascii="Calibri" w:hAnsi="Calibri"/>
          <w:sz w:val="36"/>
          <w:szCs w:val="36"/>
        </w:rPr>
      </w:r>
      <w:r>
        <w:rPr>
          <w:sz w:val="36"/>
          <w:szCs w:val="36"/>
          <w:rFonts w:ascii="Calibri" w:hAnsi="Calibri"/>
        </w:rPr>
        <w:fldChar w:fldCharType="end"/>
      </w:r>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Type de demande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Permis d’urbanisation</w:t>
      </w:r>
    </w:p>
    <w:p>
      <w:pPr>
        <w:pStyle w:val="ListParagraph"/>
        <w:numPr>
          <w:ilvl w:val="0"/>
          <w:numId w:val="3"/>
        </w:numPr>
        <w:pBdr>
          <w:top w:val="single" w:sz="4" w:space="1" w:color="000000"/>
          <w:left w:val="single" w:sz="4" w:space="4" w:color="000000"/>
          <w:bottom w:val="single" w:sz="4" w:space="1" w:color="000000"/>
          <w:right w:val="single" w:sz="4" w:space="4" w:color="000000"/>
        </w:pBdr>
        <w:spacing w:lineRule="auto" w:line="276"/>
        <w:ind w:left="709" w:hanging="709"/>
        <w:rPr/>
      </w:pPr>
      <w:r>
        <w:rPr/>
        <w:t>Modification d’un permis d’urbanisation délivré le ……………………. à …………………………… Modification(s) ultérieure(s) :</w:t>
        <w:br/>
        <w: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Si l’exclusion de certains lots du périmètre du permis est souhaitée en vertu de l’art D.IV.2, §2 du CoDT, la description de ces lots et la justification de la demande d’exclusion :</w:t>
      </w:r>
    </w:p>
    <w:p>
      <w:pPr>
        <w:pStyle w:val="Normal"/>
        <w:pBdr>
          <w:top w:val="single" w:sz="4" w:space="1" w:color="000000"/>
          <w:left w:val="single" w:sz="4" w:space="4" w:color="000000"/>
          <w:bottom w:val="single" w:sz="4" w:space="1" w:color="000000"/>
          <w:right w:val="single" w:sz="4" w:space="4" w:color="000000"/>
        </w:pBdr>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w:t>
      </w:r>
      <w:r>
        <w:rPr>
          <w:rFonts w:eastAsia="Times New Roman" w:cs="Times New Roman" w:ascii="Calibri" w:hAnsi="Calibri" w:asciiTheme="minorHAnsi" w:hAnsiTheme="minorHAnsi"/>
          <w:lang w:val="fr-FR" w:eastAsia="fr-FR"/>
        </w:rPr>
        <w: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p>
            <w:pPr>
              <w:pStyle w:val="Normal"/>
              <w:widowControl/>
              <w:spacing w:before="0" w:after="0"/>
              <w:ind w:left="527" w:hanging="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tc>
        <w:tc>
          <w:tcPr>
            <w:tcW w:w="1540"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Commune</w:t>
            </w:r>
          </w:p>
        </w:tc>
        <w:tc>
          <w:tcPr>
            <w:tcW w:w="1541"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Division</w:t>
            </w:r>
          </w:p>
        </w:tc>
        <w:tc>
          <w:tcPr>
            <w:tcW w:w="1542"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Section</w:t>
            </w:r>
          </w:p>
        </w:tc>
        <w:tc>
          <w:tcPr>
            <w:tcW w:w="1544"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N° et exposant</w:t>
            </w:r>
          </w:p>
        </w:tc>
        <w:tc>
          <w:tcPr>
            <w:tcW w:w="1421" w:type="dxa"/>
            <w:tcBorders>
              <w:top w:val="single" w:sz="4" w:space="0" w:color="000000"/>
              <w:left w:val="nil"/>
              <w:bottom w:val="single" w:sz="4" w:space="0" w:color="000000"/>
              <w:right w:val="single" w:sz="4" w:space="0" w:color="000000"/>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1</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2</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3</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4</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5</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u w:val="single"/>
        </w:rPr>
        <w:t>Existence de servitudes et autres droits</w:t>
      </w:r>
      <w:r>
        <w:rPr>
          <w:rFonts w:ascii="Calibri" w:hAnsi="Calibri" w:asciiTheme="minorHAnsi" w:hAnsiTheme="minorHAnsi"/>
          <w:b/>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3"/>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3"/>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3"/>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r>
        <w:br w:type="page"/>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ab/>
        <w:t>Lot n°:……………………….</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Bien comportant un arbre – arbuste  - une haie remarquable</w:t>
      </w:r>
    </w:p>
    <w:p>
      <w:pPr>
        <w:pStyle w:val="ListParagraph"/>
        <w:numPr>
          <w:ilvl w:val="0"/>
          <w:numId w:val="9"/>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En application du Code wallon du Patrimoine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ou bien assimilé (inscription sur la liste de sauvegarde ou soumis provisoirement aux effets du classement)</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situé dans une zone de protection d’un bien classé</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inscrit sur la liste du patrimoine exceptionnel de Wallonie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inscrit sur la liste du patrimoine mondial ou situé dans une zone tampon</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pastillé à l’inventaire régional du patrimoine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bien situé dans le périmètre de la carte archéologique </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ou aux indications d’un guide d’urbanisme, </w:t>
      </w:r>
      <w:r>
        <w:rPr>
          <w:rStyle w:val="Style135pt"/>
          <w:rFonts w:ascii="Calibri" w:hAnsi="Calibri" w:asciiTheme="minorHAnsi" w:hAnsiTheme="minorHAnsi"/>
          <w:sz w:val="22"/>
          <w:szCs w:val="22"/>
          <w:u w:val="single"/>
        </w:rPr>
        <w:t>la justification du respect des conditions fixées par les articles D.IV.5 à D.IV.13. du CoDT</w:t>
      </w:r>
      <w:r>
        <w:rPr>
          <w:rStyle w:val="Style135pt"/>
          <w:rFonts w:ascii="Calibri" w:hAnsi="Calibri" w:asciiTheme="minorHAnsi" w:hAnsiTheme="minorHAnsi"/>
          <w:sz w:val="22"/>
          <w:szCs w:val="22"/>
        </w:rPr>
        <w:t> :</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 xml:space="preserve">Une étude d’incidences sur l’environnement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8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Décret relatif à la gestion des sols</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8bis - Code wallon du Patrimoine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Une autorisation patrimoniale valide lorsqu’elle est requise par le Code wallon du Patrimoine et qu’elle porte, en tout ou en partie, sur des actes et travaux qui font l’objet de la demande de permis d’urbanisation</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 avis archéologique préalable sur grand projet valide lorsqu’il est requis par le Code wallon du Patrimoine et que la demande d’avis porte, en tout ou en partie, sur des actes et travaux qui font l’objet de la demande de permis d’urbanisation ou une copie de la demande d’avis archéologique préalable sur grand projet lorsque l’Administration du Patrimoine n’a pas délivré cet avis dans le délai prescrit.</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4"/>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4"/>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Joindre en annexe le contenu prévu par l’article 11 du décret du 6 février 2014 relatif à la voirie communale ou l’autorisation définitive en la matière</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10 – Réunion de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7"/>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7"/>
        </w:numPr>
        <w:pBdr>
          <w:top w:val="single" w:sz="4" w:space="1" w:color="000000"/>
          <w:left w:val="single" w:sz="4" w:space="4" w:color="000000"/>
          <w:bottom w:val="single" w:sz="4" w:space="1" w:color="000000"/>
          <w:right w:val="single" w:sz="4" w:space="4" w:color="000000"/>
        </w:pBdr>
        <w:jc w:val="both"/>
        <w:rPr>
          <w:rFonts w:eastAsia="Times New Roman" w:cs="Times New Roman"/>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11 - Annexes à fournir</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b/>
          <w:lang w:val="fr-FR" w:eastAsia="fr-FR"/>
        </w:rPr>
        <w:t>La liste des documents à déposer en quatre exemplaires (+ 1 exemplaire par avis à solliciter) est la suivante</w:t>
      </w:r>
      <w:r>
        <w:rPr>
          <w:rFonts w:eastAsia="Times New Roman" w:cs="Times New Roman" w:ascii="Calibri" w:hAnsi="Calibri" w:asciiTheme="minorHAnsi" w:hAnsiTheme="minorHAnsi"/>
          <w:lang w:val="fr-FR" w:eastAsia="fr-FR"/>
        </w:rPr>
        <w:t xml:space="preserve">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Cs/>
          <w:lang w:val="fr-FR" w:eastAsia="fr-FR"/>
        </w:rPr>
      </w:pPr>
      <w:r>
        <w:rPr>
          <w:rFonts w:eastAsia="Times New Roman" w:cs="Times New Roman" w:ascii="Calibri" w:hAnsi="Calibri" w:asciiTheme="minorHAnsi" w:hAnsiTheme="minorHAnsi"/>
          <w:b/>
          <w:bCs/>
          <w:lang w:val="fr-FR" w:eastAsia="fr-FR"/>
        </w:rPr>
        <w:t>Lorsqu’il s’agit d’une demande de modification d’un permis d’urbanisation, le dossier de demande comporte uniquement les éléments en lien avec la modification projetée</w:t>
      </w:r>
    </w:p>
    <w:p>
      <w:pPr>
        <w:pStyle w:val="Normal"/>
        <w:ind w:left="705" w:hanging="705"/>
        <w:jc w:val="both"/>
        <w:rPr>
          <w:rFonts w:ascii="Calibri" w:hAnsi="Calibri" w:eastAsia="Times New Roman" w:cs="Times New Roman" w:asciiTheme="minorHAnsi" w:hAnsiTheme="minorHAnsi"/>
          <w:bCs/>
          <w:lang w:val="fr-FR" w:eastAsia="fr-FR"/>
        </w:rPr>
      </w:pPr>
      <w:r>
        <w:rPr>
          <w:rFonts w:eastAsia="Times New Roman" w:cs="Times New Roman" w:ascii="Calibri" w:hAnsi="Calibri"/>
          <w:bCs/>
          <w:lang w:val="fr-FR" w:eastAsia="fr-FR"/>
        </w:rPr>
      </w:r>
    </w:p>
    <w:p>
      <w:pPr>
        <w:pStyle w:val="Normal"/>
        <w:ind w:left="705" w:hanging="705"/>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0" w:name="CaseACocher2"/>
      <w:bookmarkStart w:id="1" w:name="CaseACocher2"/>
      <w:bookmarkEnd w:id="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 xml:space="preserve">une attestation établissant que le demandeur est titulaire d’un droit réel sur le bien concerné ;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 w:name="CaseACocher4"/>
      <w:bookmarkStart w:id="3" w:name="CaseACocher4"/>
      <w:bookmarkEnd w:id="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un plan de situation du bien concerné dressé à l'échelle de 1/10.000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1/5.000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qui figure dans un rayon de 500 cents mètres de celui-ci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8" w:firstLine="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4" w:name="Bookmark_Copie_1"/>
      <w:bookmarkStart w:id="5" w:name="Bookmark_Copie_1"/>
      <w:bookmarkEnd w:id="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l’orientation ;</w:t>
      </w:r>
    </w:p>
    <w:p>
      <w:pPr>
        <w:pStyle w:val="Normal"/>
        <w:spacing w:before="120" w:after="0"/>
        <w:ind w:left="2127"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6" w:name="Bookmark_Copie_2"/>
      <w:bookmarkStart w:id="7" w:name="Bookmark_Copie_2"/>
      <w:bookmarkEnd w:id="7"/>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la localisation du bien concerné par le projet par rapport au noyau central de la localité;</w:t>
      </w:r>
    </w:p>
    <w:p>
      <w:pPr>
        <w:pStyle w:val="Normal"/>
        <w:spacing w:before="120" w:after="0"/>
        <w:ind w:left="709" w:hanging="0"/>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 xml:space="preserve">               </w:t>
      </w:r>
      <w:r>
        <w:fldChar w:fldCharType="begin">
          <w:ffData>
            <w:name w:val=""/>
            <w:enabled/>
            <w:calcOnExit w:val="0"/>
            <w:checkBox>
              <w:sizeAuto/>
            </w:checkBox>
          </w:ffData>
        </w:fldChar>
      </w:r>
      <w:r>
        <w:rPr>
          <w:rFonts w:eastAsia="Times New Roman" w:cs="Times New Roman" w:ascii="Calibri" w:hAnsi="Calibri"/>
          <w:lang w:val="fr-FR" w:eastAsia="fr-FR"/>
        </w:rPr>
        <w:instrText xml:space="preserve"> FORMCHECKBOX </w:instrText>
      </w:r>
      <w:r>
        <w:rPr>
          <w:rFonts w:eastAsia="Times New Roman" w:cs="Times New Roman" w:ascii="Calibri" w:hAnsi="Calibri"/>
          <w:lang w:val="fr-FR" w:eastAsia="fr-FR"/>
        </w:rPr>
        <w:fldChar w:fldCharType="separate"/>
      </w:r>
      <w:bookmarkStart w:id="8" w:name="Bookmark_Copie_3"/>
      <w:bookmarkStart w:id="9" w:name="Bookmark_Copie_3"/>
      <w:bookmarkEnd w:id="9"/>
      <w:r>
        <w:rPr>
          <w:rFonts w:eastAsia="Times New Roman" w:cs="Times New Roman" w:ascii="Calibri" w:hAnsi="Calibri" w:asciiTheme="minorHAnsi" w:hAnsiTheme="minorHAnsi"/>
          <w:lang w:val="fr-FR" w:eastAsia="fr-FR"/>
        </w:rPr>
      </w:r>
      <w:r>
        <w:rPr>
          <w:rFonts w:eastAsia="Times New Roman" w:cs="Times New Roman" w:ascii="Calibri" w:hAnsi="Calibri"/>
          <w:lang w:val="fr-FR" w:eastAsia="fr-FR"/>
        </w:rPr>
        <w:fldChar w:fldCharType="end"/>
      </w:r>
      <w:r>
        <w:rPr>
          <w:rFonts w:eastAsia="Times New Roman" w:cs="Times New Roman" w:ascii="Calibri" w:hAnsi="Calibri" w:asciiTheme="minorHAnsi" w:hAnsiTheme="minorHAnsi"/>
          <w:lang w:val="fr-FR" w:eastAsia="fr-FR"/>
        </w:rPr>
        <w:tab/>
        <w:t>les voies de desserte et leur dénomination ;</w:t>
      </w:r>
    </w:p>
    <w:p>
      <w:pPr>
        <w:pStyle w:val="Normal"/>
        <w:ind w:left="709" w:hanging="709"/>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ab/>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0" w:name="CaseACocher12"/>
      <w:bookmarkStart w:id="11" w:name="CaseACocher12"/>
      <w:bookmarkEnd w:id="1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 contexte urbanistique et paysager, dressé sur un plan établi à l'échelle de 1/1.000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708" w:firstLine="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2" w:name="CaseACocher13"/>
      <w:bookmarkStart w:id="13" w:name="CaseACocher13"/>
      <w:bookmarkEnd w:id="1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l'orientation ;</w:t>
      </w:r>
    </w:p>
    <w:p>
      <w:pPr>
        <w:pStyle w:val="Normal"/>
        <w:spacing w:before="120" w:after="0"/>
        <w:ind w:left="2124" w:hanging="708"/>
        <w:jc w:val="both"/>
        <w:rPr>
          <w:rFonts w:ascii="Calibri" w:hAnsi="Calibri" w:eastAsia="Times New Roman" w:cs="Times New Roman" w:asciiTheme="minorHAnsi" w:hAnsiTheme="minorHAnsi"/>
          <w:strike/>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4" w:name="CaseACocher14"/>
      <w:bookmarkStart w:id="15" w:name="CaseACocher14"/>
      <w:bookmarkEnd w:id="1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la voirie de desserte cotée avec indication de son statut juridique ;</w:t>
      </w:r>
    </w:p>
    <w:p>
      <w:pPr>
        <w:pStyle w:val="Normal"/>
        <w:spacing w:before="120" w:after="0"/>
        <w:ind w:left="2124"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6" w:name="CaseACocher15"/>
      <w:bookmarkStart w:id="17" w:name="CaseACocher15"/>
      <w:bookmarkEnd w:id="17"/>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l'implantation, le gabarit, la nature ou l'affectation des constructions existantes sur le bien concerné et dans un rayon de 50 mètres de celui-ci ;</w:t>
      </w:r>
    </w:p>
    <w:p>
      <w:pPr>
        <w:pStyle w:val="Normal"/>
        <w:spacing w:before="120" w:after="0"/>
        <w:ind w:left="2127" w:hanging="709"/>
        <w:jc w:val="both"/>
        <w:rPr>
          <w:rFonts w:ascii="Calibri" w:hAnsi="Calibri" w:eastAsia="Times New Roman" w:cs="Times New Roman" w:asciiTheme="minorHAnsi" w:hAnsiTheme="minorHAnsi"/>
          <w:color w:val="FF0000"/>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8" w:name="CaseACocher16"/>
      <w:bookmarkStart w:id="19" w:name="CaseACocher16"/>
      <w:bookmarkEnd w:id="1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pPr>
        <w:pStyle w:val="Normal"/>
        <w:spacing w:before="120" w:after="0"/>
        <w:ind w:left="2124"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0" w:name="CaseACocher17"/>
      <w:bookmarkStart w:id="21" w:name="CaseACocher17"/>
      <w:bookmarkEnd w:id="2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l'indication numérotée des prises de vues du reportage photographique visé ci-dessous;</w:t>
      </w:r>
    </w:p>
    <w:p>
      <w:pPr>
        <w:pStyle w:val="Normal"/>
        <w:spacing w:before="120" w:after="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2" w:name="CaseACocher18"/>
      <w:bookmarkStart w:id="23" w:name="CaseACocher18"/>
      <w:bookmarkEnd w:id="2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un reportage photographique en couleurs qui permet la prise en compte du contexte urbanistique et paysager dans lequel s'insère le projet et qui contient au minimum :</w:t>
      </w:r>
    </w:p>
    <w:p>
      <w:pPr>
        <w:pStyle w:val="Normal"/>
        <w:spacing w:before="120" w:after="0"/>
        <w:ind w:left="2124"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4" w:name="CaseACocher19"/>
      <w:bookmarkStart w:id="25" w:name="CaseACocher19"/>
      <w:bookmarkEnd w:id="2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deux prises de vues, l'une à front de voirie, montrant la parcelle et les immeubles la jouxtant, l'autre montrant la ou les parcelles en vis-à-vis de l'autre côté de la voirie ;</w:t>
      </w:r>
    </w:p>
    <w:p>
      <w:pPr>
        <w:pStyle w:val="Normal"/>
        <w:spacing w:before="120" w:after="0"/>
        <w:ind w:left="2124"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6" w:name="CaseACocher20"/>
      <w:bookmarkStart w:id="27" w:name="CaseACocher20"/>
      <w:bookmarkEnd w:id="27"/>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au moins trois prises de vues différentes afin de visualiser les limites du bien concerné et les constructions voisines ;</w:t>
      </w:r>
    </w:p>
    <w:p>
      <w:pPr>
        <w:pStyle w:val="Normal"/>
        <w:spacing w:before="120" w:after="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5" w:hanging="705"/>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28" w:name="CaseACocher3"/>
      <w:bookmarkStart w:id="29" w:name="CaseACocher3"/>
      <w:bookmarkEnd w:id="2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 xml:space="preserve">un rapport qui comprend : </w:t>
      </w:r>
    </w:p>
    <w:p>
      <w:pPr>
        <w:pStyle w:val="Normal"/>
        <w:spacing w:before="120" w:after="0"/>
        <w:ind w:left="1412" w:hanging="703"/>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30" w:name="CaseACocher24"/>
      <w:bookmarkStart w:id="31" w:name="CaseACocher24"/>
      <w:bookmarkEnd w:id="31"/>
      <w:r>
        <w:rPr>
          <w:rFonts w:ascii="Calibri" w:hAnsi="Calibri"/>
        </w:rPr>
      </w:r>
      <w:r>
        <w:rPr>
          <w:rFonts w:ascii="Calibri" w:hAnsi="Calibri"/>
        </w:rPr>
        <w:fldChar w:fldCharType="end"/>
      </w:r>
      <w:r>
        <w:rPr>
          <w:rFonts w:eastAsia="Times New Roman" w:cs="Times New Roman" w:ascii="Calibri" w:hAnsi="Calibri" w:asciiTheme="minorHAnsi" w:hAnsiTheme="minorHAnsi"/>
          <w:iCs/>
          <w:lang w:val="fr-FR" w:eastAsia="fr-FR"/>
        </w:rPr>
        <w:tab/>
      </w:r>
      <w:r>
        <w:rPr>
          <w:rFonts w:eastAsia="Times New Roman" w:cs="Times New Roman" w:ascii="Calibri" w:hAnsi="Calibri" w:asciiTheme="minorHAnsi" w:hAnsiTheme="minorHAnsi"/>
          <w:lang w:val="fr-FR" w:eastAsia="fr-FR"/>
        </w:rPr>
        <w:t>les objectifs d’aménagement du territoire et d’urbanisme </w:t>
      </w:r>
      <w:r>
        <w:rPr>
          <w:rFonts w:eastAsia="Times New Roman" w:cs="Times New Roman" w:ascii="Calibri" w:hAnsi="Calibri" w:asciiTheme="minorHAnsi" w:hAnsiTheme="minorHAnsi"/>
          <w:lang w:eastAsia="fr-FR"/>
        </w:rPr>
        <w:t>pour la partie du territoire concerné</w:t>
      </w:r>
      <w:r>
        <w:rPr>
          <w:rFonts w:eastAsia="Times New Roman" w:cs="Times New Roman" w:ascii="Calibri" w:hAnsi="Calibri" w:asciiTheme="minorHAnsi" w:hAnsiTheme="minorHAnsi"/>
          <w:lang w:val="fr-FR" w:eastAsia="fr-FR"/>
        </w:rPr>
        <w:t> ; ces objectifs décrivent en quoi le projet d’urbanisation respecte, s’inspire, renforce ou corrige le contexte dans lequel il s’inscrit ;</w:t>
      </w:r>
    </w:p>
    <w:p>
      <w:pPr>
        <w:pStyle w:val="Normal"/>
        <w:spacing w:before="120" w:after="0"/>
        <w:ind w:left="1418" w:hanging="0"/>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Lorsque le bien est repris dans le périmètre d’un schéma communal, les objectifs du permis d’urbanisation peuvent être ceux du schéma communal.</w:t>
        <w:tab/>
      </w:r>
    </w:p>
    <w:p>
      <w:pPr>
        <w:pStyle w:val="Tirets"/>
        <w:ind w:left="1418" w:hanging="709"/>
        <w:rPr>
          <w:rFonts w:ascii="Calibri" w:hAnsi="Calibri" w:eastAsia="Times New Roman" w:cs="Times New Roman" w:asciiTheme="minorHAnsi" w:hAnsiTheme="minorHAnsi"/>
          <w:color w:val="auto"/>
          <w:w w:val="100"/>
          <w:kern w:val="0"/>
          <w:sz w:val="22"/>
          <w:szCs w:val="22"/>
          <w:lang w:eastAsia="fr-FR" w:bidi="ar-SA"/>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2" w:name="CaseACocher66"/>
      <w:bookmarkStart w:id="33" w:name="CaseACocher66"/>
      <w:bookmarkEnd w:id="33"/>
      <w:r>
        <w:rPr>
          <w:rFonts w:ascii="Calibri" w:hAnsi="Calibri"/>
          <w:sz w:val="22"/>
          <w:szCs w:val="22"/>
        </w:rPr>
      </w:r>
      <w:r>
        <w:rPr>
          <w:sz w:val="22"/>
          <w:szCs w:val="22"/>
          <w:rFonts w:ascii="Calibri" w:hAnsi="Calibri"/>
        </w:rPr>
        <w:fldChar w:fldCharType="end"/>
      </w:r>
      <w:r>
        <w:rPr>
          <w:rFonts w:cs="Times"/>
        </w:rPr>
        <w:t xml:space="preserve"> </w:t>
        <w:tab/>
      </w:r>
      <w:r>
        <w:rPr>
          <w:rFonts w:eastAsia="Times New Roman" w:cs="Times New Roman" w:ascii="Calibri" w:hAnsi="Calibri" w:asciiTheme="minorHAnsi" w:hAnsiTheme="minorHAnsi"/>
          <w:color w:val="auto"/>
          <w:w w:val="100"/>
          <w:kern w:val="0"/>
          <w:sz w:val="22"/>
          <w:szCs w:val="22"/>
          <w:lang w:eastAsia="fr-FR" w:bidi="ar-SA"/>
        </w:rPr>
        <w:t xml:space="preserve">les mesures de mise en œuvre des objectifs sous la forme d’un cahier des indications relatif: </w:t>
      </w:r>
    </w:p>
    <w:p>
      <w:pPr>
        <w:pStyle w:val="Textecourant"/>
        <w:ind w:left="2410" w:hanging="567"/>
        <w:rPr>
          <w:rFonts w:ascii="Calibri" w:hAnsi="Calibri" w:eastAsia="Times New Roman" w:cs="Times New Roman" w:asciiTheme="minorHAnsi" w:hAnsiTheme="minorHAnsi"/>
          <w:color w:val="auto"/>
          <w:kern w:val="0"/>
          <w:sz w:val="22"/>
          <w:szCs w:val="22"/>
          <w:lang w:eastAsia="fr-FR" w:bidi="ar-SA"/>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4" w:name="CaseACocher66_Copie_1"/>
      <w:bookmarkStart w:id="35" w:name="CaseACocher66_Copie_1"/>
      <w:bookmarkEnd w:id="35"/>
      <w:r>
        <w:rPr>
          <w:rFonts w:ascii="Calibri" w:hAnsi="Calibri"/>
          <w:sz w:val="22"/>
          <w:szCs w:val="22"/>
        </w:rPr>
      </w:r>
      <w:r>
        <w:rPr>
          <w:sz w:val="22"/>
          <w:szCs w:val="22"/>
          <w:rFonts w:ascii="Calibri" w:hAnsi="Calibri"/>
        </w:rP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auto"/>
          <w:kern w:val="0"/>
          <w:sz w:val="22"/>
          <w:szCs w:val="22"/>
          <w:lang w:eastAsia="fr-FR" w:bidi="ar-SA"/>
        </w:rPr>
        <w:t xml:space="preserve">au réseau viaire; </w:t>
      </w:r>
    </w:p>
    <w:p>
      <w:pPr>
        <w:pStyle w:val="Textecourant"/>
        <w:ind w:left="2410" w:hanging="567"/>
        <w:rPr>
          <w:rFonts w:ascii="Calibri" w:hAnsi="Calibri" w:eastAsia="Times New Roman" w:cs="Times New Roman" w:asciiTheme="minorHAnsi" w:hAnsiTheme="minorHAnsi"/>
          <w:color w:val="auto"/>
          <w:kern w:val="0"/>
          <w:sz w:val="22"/>
          <w:szCs w:val="22"/>
          <w:lang w:eastAsia="fr-FR" w:bidi="ar-SA"/>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6" w:name="CaseACocher66_Copie_2"/>
      <w:bookmarkStart w:id="37" w:name="CaseACocher66_Copie_2"/>
      <w:bookmarkEnd w:id="37"/>
      <w:r>
        <w:rPr>
          <w:rFonts w:ascii="Calibri" w:hAnsi="Calibri"/>
          <w:sz w:val="22"/>
          <w:szCs w:val="22"/>
        </w:rPr>
      </w:r>
      <w:r>
        <w:rPr>
          <w:sz w:val="22"/>
          <w:szCs w:val="22"/>
          <w:rFonts w:ascii="Calibri" w:hAnsi="Calibri"/>
        </w:rP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auto"/>
          <w:kern w:val="0"/>
          <w:sz w:val="22"/>
          <w:szCs w:val="22"/>
          <w:lang w:eastAsia="fr-FR" w:bidi="ar-SA"/>
        </w:rPr>
        <w:t xml:space="preserve">aux infrastructures et réseaux techniques, ainsi qu’à la gestion des eaux usées et des eaux de ruissellement; </w:t>
      </w:r>
    </w:p>
    <w:p>
      <w:pPr>
        <w:pStyle w:val="Textecourant"/>
        <w:ind w:left="2410" w:hanging="567"/>
        <w:rPr>
          <w:rFonts w:ascii="Calibri" w:hAnsi="Calibri" w:eastAsia="Times New Roman" w:cs="Times New Roman" w:asciiTheme="minorHAnsi" w:hAnsiTheme="minorHAnsi"/>
          <w:color w:val="auto"/>
          <w:kern w:val="0"/>
          <w:sz w:val="22"/>
          <w:szCs w:val="22"/>
          <w:lang w:eastAsia="fr-FR" w:bidi="ar-SA"/>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38" w:name="CaseACocher66_Copie_3"/>
      <w:bookmarkStart w:id="39" w:name="CaseACocher66_Copie_3"/>
      <w:bookmarkEnd w:id="39"/>
      <w:r>
        <w:rPr>
          <w:rFonts w:ascii="Calibri" w:hAnsi="Calibri"/>
          <w:sz w:val="22"/>
          <w:szCs w:val="22"/>
        </w:rPr>
      </w:r>
      <w:r>
        <w:rPr>
          <w:sz w:val="22"/>
          <w:szCs w:val="22"/>
          <w:rFonts w:ascii="Calibri" w:hAnsi="Calibri"/>
        </w:rP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auto"/>
          <w:kern w:val="0"/>
          <w:sz w:val="22"/>
          <w:szCs w:val="22"/>
          <w:lang w:eastAsia="fr-FR" w:bidi="ar-SA"/>
        </w:rPr>
        <w:t>aux espaces publics et aux espaces verts;</w:t>
      </w:r>
    </w:p>
    <w:p>
      <w:pPr>
        <w:pStyle w:val="Textecourant"/>
        <w:ind w:left="2410" w:hanging="567"/>
        <w:rPr>
          <w:rFonts w:ascii="Calibri" w:hAnsi="Calibri" w:eastAsia="Times New Roman" w:cs="Times New Roman" w:asciiTheme="minorHAnsi" w:hAnsiTheme="minorHAnsi"/>
          <w:color w:val="auto"/>
          <w:kern w:val="0"/>
          <w:sz w:val="22"/>
          <w:szCs w:val="22"/>
          <w:lang w:eastAsia="fr-FR" w:bidi="ar-SA"/>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0" w:name="CaseACocher66_Copie_4"/>
      <w:bookmarkStart w:id="41" w:name="CaseACocher66_Copie_4"/>
      <w:bookmarkEnd w:id="41"/>
      <w:r>
        <w:rPr>
          <w:rFonts w:ascii="Calibri" w:hAnsi="Calibri"/>
          <w:sz w:val="22"/>
          <w:szCs w:val="22"/>
        </w:rPr>
      </w:r>
      <w:r>
        <w:rPr>
          <w:sz w:val="22"/>
          <w:szCs w:val="22"/>
          <w:rFonts w:ascii="Calibri" w:hAnsi="Calibri"/>
        </w:rP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auto"/>
          <w:kern w:val="0"/>
          <w:sz w:val="22"/>
          <w:szCs w:val="22"/>
          <w:lang w:eastAsia="fr-FR" w:bidi="ar-SA"/>
        </w:rPr>
        <w:t>au parcellaire et aux affectations;</w:t>
      </w:r>
    </w:p>
    <w:p>
      <w:pPr>
        <w:pStyle w:val="Textecourant"/>
        <w:ind w:left="2410" w:hanging="567"/>
        <w:rPr>
          <w:rFonts w:ascii="Calibri" w:hAnsi="Calibri" w:eastAsia="Times New Roman" w:cs="Times New Roman" w:asciiTheme="minorHAnsi" w:hAnsiTheme="minorHAnsi"/>
          <w:color w:val="auto"/>
          <w:kern w:val="0"/>
          <w:sz w:val="22"/>
          <w:szCs w:val="22"/>
          <w:lang w:eastAsia="fr-FR" w:bidi="ar-SA"/>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2" w:name="CaseACocher66_Copie_5"/>
      <w:bookmarkStart w:id="43" w:name="CaseACocher66_Copie_5"/>
      <w:bookmarkEnd w:id="43"/>
      <w:r>
        <w:rPr>
          <w:rFonts w:ascii="Calibri" w:hAnsi="Calibri"/>
          <w:sz w:val="22"/>
          <w:szCs w:val="22"/>
        </w:rPr>
      </w:r>
      <w:r>
        <w:rPr>
          <w:sz w:val="22"/>
          <w:szCs w:val="22"/>
          <w:rFonts w:ascii="Calibri" w:hAnsi="Calibri"/>
        </w:rP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auto"/>
          <w:kern w:val="0"/>
          <w:sz w:val="22"/>
          <w:szCs w:val="22"/>
          <w:lang w:eastAsia="fr-FR" w:bidi="ar-SA"/>
        </w:rPr>
        <w:t xml:space="preserve">à l’implantation et à la hauteur des constructions et des ouvrages, aux voiries et aux espaces publics ainsi qu’à l’intégration des équipements techniques; </w:t>
      </w:r>
    </w:p>
    <w:p>
      <w:pPr>
        <w:pStyle w:val="Textecourant"/>
        <w:ind w:left="2410" w:hanging="567"/>
        <w:rPr>
          <w:rFonts w:ascii="Calibri" w:hAnsi="Calibri" w:eastAsia="Times New Roman" w:cs="Times New Roman" w:asciiTheme="minorHAnsi" w:hAnsiTheme="minorHAnsi"/>
          <w:color w:val="auto"/>
          <w:kern w:val="0"/>
          <w:sz w:val="22"/>
          <w:szCs w:val="22"/>
          <w:lang w:eastAsia="fr-FR" w:bidi="ar-SA"/>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4" w:name="CaseACocher66_Copie_6"/>
      <w:bookmarkStart w:id="45" w:name="CaseACocher66_Copie_6"/>
      <w:bookmarkEnd w:id="45"/>
      <w:r>
        <w:rPr>
          <w:rFonts w:ascii="Calibri" w:hAnsi="Calibri"/>
          <w:sz w:val="22"/>
          <w:szCs w:val="22"/>
        </w:rPr>
      </w:r>
      <w:r>
        <w:rPr>
          <w:sz w:val="22"/>
          <w:szCs w:val="22"/>
          <w:rFonts w:ascii="Calibri" w:hAnsi="Calibri"/>
        </w:rP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auto"/>
          <w:kern w:val="0"/>
          <w:sz w:val="22"/>
          <w:szCs w:val="22"/>
          <w:lang w:eastAsia="fr-FR" w:bidi="ar-SA"/>
        </w:rPr>
        <w:t>à la structure écologique, en ce compris les plantations.</w:t>
      </w:r>
    </w:p>
    <w:p>
      <w:pPr>
        <w:pStyle w:val="Normal"/>
        <w:spacing w:before="120" w:after="0"/>
        <w:ind w:left="1418" w:hanging="0"/>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 xml:space="preserve">Lorsqu’il existe un guide communal d’urbanisme qui contient les indications visées à l’article D.III.2, §1er, 1° à 6°, 8° et 9° et si le demandeur ne souhaite pas s’écarter de ces indications, le dossier peut ne pas contenir le cahier des indications et les indications du guide communal d’urbanisme suffisent. Dans ce cas, le demandeur précise les articles du guide qui s’appliquent. </w:t>
      </w:r>
    </w:p>
    <w:p>
      <w:pPr>
        <w:pStyle w:val="Normal"/>
        <w:spacing w:before="120" w:after="0"/>
        <w:ind w:left="1418" w:hanging="0"/>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pPr>
        <w:pStyle w:val="Normal"/>
        <w:spacing w:before="120" w:after="0"/>
        <w:ind w:left="1418" w:hanging="0"/>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schéma qui s’appliquent. </w:t>
      </w:r>
    </w:p>
    <w:p>
      <w:pPr>
        <w:pStyle w:val="Normal"/>
        <w:spacing w:before="120" w:after="0"/>
        <w:ind w:left="1418" w:hanging="0"/>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pPr>
        <w:pStyle w:val="Normal"/>
        <w:spacing w:before="120" w:after="0"/>
        <w:ind w:left="1418" w:hanging="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eastAsia="fr-FR"/>
        </w:rPr>
        <w:t xml:space="preserve"> </w:t>
      </w:r>
      <w:r>
        <w:fldChar w:fldCharType="begin">
          <w:ffData>
            <w:name w:val=""/>
            <w:enabled/>
            <w:calcOnExit w:val="0"/>
            <w:checkBox>
              <w:sizeAuto/>
            </w:checkBox>
          </w:ffData>
        </w:fldChar>
      </w:r>
      <w:r>
        <w:rPr>
          <w:rFonts w:eastAsia="Times New Roman" w:cs="Times New Roman" w:ascii="Calibri" w:hAnsi="Calibri"/>
          <w:lang w:eastAsia="fr-FR"/>
        </w:rPr>
        <w:instrText xml:space="preserve"> FORMCHECKBOX </w:instrText>
      </w:r>
      <w:r>
        <w:rPr>
          <w:rFonts w:eastAsia="Times New Roman" w:cs="Times New Roman" w:ascii="Calibri" w:hAnsi="Calibri"/>
          <w:lang w:eastAsia="fr-FR"/>
        </w:rPr>
        <w:fldChar w:fldCharType="separate"/>
      </w:r>
      <w:bookmarkStart w:id="46" w:name="CaseACocher66_Copie_7"/>
      <w:bookmarkStart w:id="47" w:name="CaseACocher66_Copie_7"/>
      <w:bookmarkEnd w:id="47"/>
      <w:r>
        <w:rPr>
          <w:rFonts w:eastAsia="Times New Roman" w:cs="Times New Roman" w:ascii="Calibri" w:hAnsi="Calibri" w:asciiTheme="minorHAnsi" w:hAnsiTheme="minorHAnsi"/>
          <w:lang w:eastAsia="fr-FR"/>
        </w:rPr>
      </w:r>
      <w:r>
        <w:rPr>
          <w:rFonts w:eastAsia="Times New Roman" w:cs="Times New Roman" w:ascii="Calibri" w:hAnsi="Calibri"/>
          <w:lang w:eastAsia="fr-FR"/>
        </w:rPr>
        <w:fldChar w:fldCharType="end"/>
      </w:r>
      <w:r>
        <w:rPr>
          <w:rFonts w:eastAsia="Times New Roman" w:cs="Times New Roman" w:ascii="Calibri" w:hAnsi="Calibri" w:asciiTheme="minorHAnsi" w:hAnsiTheme="minorHAnsi"/>
          <w:iCs/>
          <w:lang w:val="fr-FR" w:eastAsia="fr-FR"/>
        </w:rPr>
        <w:tab/>
      </w:r>
      <w:r>
        <w:rPr>
          <w:rFonts w:eastAsia="Times New Roman" w:cs="Times New Roman" w:ascii="Calibri" w:hAnsi="Calibri" w:asciiTheme="minorHAnsi" w:hAnsiTheme="minorHAnsi"/>
          <w:lang w:val="fr-FR" w:eastAsia="fr-FR"/>
        </w:rPr>
        <w:t>l'occupation actuelle de la parcelle, représentée sur un plan dressé à l'échelle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1/250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48" w:name="CaseACocher25"/>
      <w:bookmarkStart w:id="49" w:name="CaseACocher25"/>
      <w:bookmarkEnd w:id="4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les limites cotées de la parcelle concernée et les courbes de niveau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50" w:name="CaseACocher26"/>
      <w:bookmarkStart w:id="51" w:name="CaseACocher26"/>
      <w:bookmarkEnd w:id="5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 numérotage des parcelles et les noms des propriétaires des parcelles limitrophes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52" w:name="CaseACocher29"/>
      <w:bookmarkStart w:id="53" w:name="CaseACocher29"/>
      <w:bookmarkEnd w:id="5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les servitudes du fait de l'homme sur le terrain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54" w:name="CaseACocher29_Copie_1"/>
      <w:bookmarkStart w:id="55" w:name="CaseACocher29_Copie_1"/>
      <w:bookmarkEnd w:id="5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 xml:space="preserve">le cas échéant, le tracé des infrastructures de transport de fluide et d’énergie qui traversent le ou les biens concernés ;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56" w:name="CaseACocher29_Copie_2"/>
      <w:bookmarkStart w:id="57" w:name="CaseACocher29_Copie_2"/>
      <w:bookmarkEnd w:id="57"/>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le tracé et alignement des voies de desserte ainsi que leur largeur totale, la largeur et la nature du revêtement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58" w:name="CaseACocher29_Copie_3"/>
      <w:bookmarkStart w:id="59" w:name="CaseACocher29_Copie_3"/>
      <w:bookmarkEnd w:id="5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les points d’arrêt des transport en commun les plus proches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60" w:name="CaseACocher28"/>
      <w:bookmarkStart w:id="61" w:name="CaseACocher28"/>
      <w:bookmarkEnd w:id="6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 tracé et les points d’aboutissement des impétrants existants les plus proches, autres que l’égouttage, avec leurs caractéristiques techniques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62" w:name="CaseACocher29_Copie_4"/>
      <w:bookmarkStart w:id="63" w:name="CaseACocher29_Copie_4"/>
      <w:bookmarkEnd w:id="6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64" w:name="CaseACocher29_Copie_5"/>
      <w:bookmarkStart w:id="65" w:name="CaseACocher29_Copie_5"/>
      <w:bookmarkEnd w:id="6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les moyens existants pour assurer l’écoulement des eaux superficielles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spacing w:before="120" w:after="0"/>
        <w:ind w:left="709" w:hanging="703"/>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66" w:name="CaseACocher24_Copie_1"/>
      <w:bookmarkStart w:id="67" w:name="CaseACocher24_Copie_1"/>
      <w:bookmarkEnd w:id="67"/>
      <w:r>
        <w:rPr>
          <w:rFonts w:ascii="Calibri" w:hAnsi="Calibri"/>
        </w:rPr>
      </w:r>
      <w:r>
        <w:rPr>
          <w:rFonts w:ascii="Calibri" w:hAnsi="Calibri"/>
        </w:rPr>
        <w:fldChar w:fldCharType="end"/>
      </w:r>
      <w:r>
        <w:rPr>
          <w:rFonts w:eastAsia="Times New Roman" w:cs="Times New Roman" w:ascii="Calibri" w:hAnsi="Calibri" w:asciiTheme="minorHAnsi" w:hAnsiTheme="minorHAnsi"/>
          <w:iCs/>
          <w:lang w:val="fr-FR" w:eastAsia="fr-FR"/>
        </w:rPr>
        <w:tab/>
      </w:r>
      <w:r>
        <w:rPr>
          <w:rFonts w:eastAsia="Times New Roman" w:cs="Times New Roman" w:ascii="Calibri" w:hAnsi="Calibri" w:asciiTheme="minorHAnsi" w:hAnsiTheme="minorHAnsi"/>
          <w:lang w:val="fr-FR" w:eastAsia="fr-FR"/>
        </w:rPr>
        <w:t>l'occupation projetée de la parcelle, représentée sur un plan dressé à l'échelle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1/250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68" w:name="CaseACocher25_Copie_1"/>
      <w:bookmarkStart w:id="69" w:name="CaseACocher25_Copie_1"/>
      <w:bookmarkEnd w:id="6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l’affectation, l’implantation et le gabarit des constructions projetées;</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70" w:name="CaseACocher26_Copie_1"/>
      <w:bookmarkStart w:id="71" w:name="CaseACocher26_Copie_1"/>
      <w:bookmarkEnd w:id="7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 cas échant, les différentes phases du projet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72" w:name="CaseACocher26_Copie_2"/>
      <w:bookmarkStart w:id="73" w:name="CaseACocher26_Copie_2"/>
      <w:bookmarkEnd w:id="7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 xml:space="preserve"> </w:t>
        <w:tab/>
        <w:t>le cas échéant, les fonctions complémentaires, les espaces publics et les constructions ou équipements publics ou communautaires projetés;</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74" w:name="CaseACocher26_Copie_3"/>
      <w:bookmarkStart w:id="75" w:name="CaseACocher26_Copie_3"/>
      <w:bookmarkEnd w:id="7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76" w:name="CaseACocher29_Copie_6"/>
      <w:bookmarkStart w:id="77" w:name="CaseACocher29_Copie_6"/>
      <w:bookmarkEnd w:id="77"/>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l’aménagement maintenu ou projeté en dehors des zones capables de bâtisse;</w:t>
      </w:r>
    </w:p>
    <w:p>
      <w:pPr>
        <w:pStyle w:val="Normal"/>
        <w:spacing w:before="120" w:after="0"/>
        <w:ind w:left="1418" w:hanging="709"/>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78" w:name="CaseACocher26_Copie_4"/>
      <w:bookmarkStart w:id="79" w:name="CaseACocher26_Copie_4"/>
      <w:bookmarkEnd w:id="7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le niveau d'implantation de la voirie de desserte, ses aménagements et ses équipements ;</w:t>
      </w:r>
    </w:p>
    <w:p>
      <w:pPr>
        <w:pStyle w:val="Normal"/>
        <w:spacing w:before="120" w:after="0"/>
        <w:ind w:left="1418" w:hanging="709"/>
        <w:jc w:val="both"/>
        <w:rPr>
          <w:rFonts w:ascii="Calibri" w:hAnsi="Calibri" w:eastAsia="Times New Roman" w:cs="Times New Roman" w:asciiTheme="minorHAnsi" w:hAnsiTheme="minorHAnsi"/>
          <w:i/>
          <w: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80" w:name="CaseACocher26_Copie_5"/>
      <w:bookmarkStart w:id="81" w:name="CaseACocher26_Copie_5"/>
      <w:bookmarkEnd w:id="81"/>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au moins une coupe significative longitudinale et une coupe significative transversale cotées du relief du sol, par cent mètres de voiries</w:t>
      </w:r>
      <w:r>
        <w:rPr>
          <w:rFonts w:eastAsia="Times New Roman" w:cs="Times New Roman" w:ascii="Calibri" w:hAnsi="Calibri" w:asciiTheme="minorHAnsi" w:hAnsiTheme="minorHAnsi"/>
          <w:color w:val="FF0000"/>
          <w:lang w:val="fr-FR" w:eastAsia="fr-FR"/>
        </w:rPr>
        <w:t xml:space="preserve"> </w:t>
      </w:r>
      <w:r>
        <w:rPr>
          <w:rFonts w:eastAsia="Times New Roman" w:cs="Times New Roman" w:ascii="Calibri" w:hAnsi="Calibri" w:asciiTheme="minorHAnsi" w:hAnsiTheme="minorHAnsi"/>
          <w:lang w:val="fr-FR" w:eastAsia="fr-FR"/>
        </w:rPr>
        <w:t>ainsi que, le cas échéant, les modifications projetées et cotées qui s'y rapportent ; ces coupes transversales sont établies à une échelle du 1/100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 </w:t>
      </w:r>
    </w:p>
    <w:p>
      <w:pPr>
        <w:pStyle w:val="Normal"/>
        <w:ind w:left="709"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82" w:name="CaseACocher35"/>
      <w:bookmarkStart w:id="83" w:name="CaseACocher35"/>
      <w:bookmarkEnd w:id="83"/>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un plan masse, dressé à l’échelle du 1/500</w:t>
      </w:r>
      <w:r>
        <w:rPr>
          <w:rFonts w:eastAsia="Times New Roman" w:cs="Times New Roman" w:ascii="Calibri" w:hAnsi="Calibri" w:asciiTheme="minorHAnsi" w:hAnsiTheme="minorHAnsi"/>
          <w:vertAlign w:val="superscript"/>
          <w:lang w:val="fr-FR" w:eastAsia="fr-FR"/>
        </w:rPr>
        <w:t xml:space="preserve">e </w:t>
      </w:r>
      <w:r>
        <w:rPr>
          <w:rFonts w:eastAsia="Times New Roman" w:cs="Times New Roman" w:ascii="Calibri" w:hAnsi="Calibri" w:asciiTheme="minorHAnsi" w:hAnsiTheme="minorHAnsi"/>
          <w:lang w:val="fr-FR" w:eastAsia="fr-FR"/>
        </w:rPr>
        <w:t>ou de 1/250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représentant l’urbanisation projetée et figurant, à titre indicatif, le parcellaire projeté ;</w:t>
      </w:r>
    </w:p>
    <w:p>
      <w:pPr>
        <w:pStyle w:val="Normal"/>
        <w:ind w:left="709" w:hanging="708"/>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84" w:name="CaseACocher34"/>
      <w:bookmarkStart w:id="85" w:name="CaseACocher34"/>
      <w:bookmarkEnd w:id="8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une ou plusieurs vues représentatives en trois dimensions des actes et travaux projetés ;</w:t>
      </w:r>
    </w:p>
    <w:p>
      <w:pPr>
        <w:pStyle w:val="Normal"/>
        <w:ind w:left="709" w:hanging="708"/>
        <w:jc w:val="both"/>
        <w:rPr>
          <w:rFonts w:ascii="Calibri" w:hAnsi="Calibri" w:eastAsia="Times New Roman" w:cs="Times New Roman" w:asciiTheme="minorHAnsi" w:hAnsiTheme="minorHAnsi"/>
          <w:i/>
          <w:i/>
          <w:lang w:val="fr-FR" w:eastAsia="fr-FR"/>
        </w:rPr>
      </w:pPr>
      <w:r>
        <w:rPr>
          <w:rFonts w:eastAsia="Times New Roman" w:cs="Times New Roman" w:ascii="Calibri" w:hAnsi="Calibri"/>
          <w:i/>
          <w:lang w:val="fr-FR" w:eastAsia="fr-FR"/>
        </w:rPr>
      </w:r>
    </w:p>
    <w:p>
      <w:pPr>
        <w:pStyle w:val="Normal"/>
        <w:ind w:left="709"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86" w:name="CaseACocher34_Copie_1"/>
      <w:bookmarkStart w:id="87" w:name="CaseACocher34_Copie_1"/>
      <w:bookmarkEnd w:id="87"/>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 xml:space="preserve">le cas échéant, le dossier technique relatif à l’ouverture ou la modification de la voirie communale, qui comprend : </w:t>
      </w:r>
    </w:p>
    <w:p>
      <w:pPr>
        <w:pStyle w:val="StylePremireligne063cm"/>
        <w:tabs>
          <w:tab w:val="clear" w:pos="708"/>
          <w:tab w:val="left" w:pos="1418" w:leader="none"/>
        </w:tabs>
        <w:ind w:left="1418" w:hanging="709"/>
        <w:rPr>
          <w:rFonts w:ascii="Calibri" w:hAnsi="Calibri" w:asciiTheme="minorHAnsi" w:hAnsiTheme="minorHAnsi"/>
          <w:sz w:val="22"/>
          <w:szCs w:val="22"/>
          <w:highlight w:val="yellow"/>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88" w:name="CaseACocher26_Copie_6"/>
      <w:bookmarkStart w:id="89" w:name="CaseACocher26_Copie_6"/>
      <w:bookmarkEnd w:id="89"/>
      <w:r>
        <w:rPr>
          <w:rFonts w:ascii="Calibri" w:hAnsi="Calibri"/>
          <w:sz w:val="22"/>
          <w:szCs w:val="22"/>
        </w:rPr>
      </w:r>
      <w:r>
        <w:rPr>
          <w:sz w:val="22"/>
          <w:szCs w:val="22"/>
          <w:rFonts w:ascii="Calibri" w:hAnsi="Calibri"/>
        </w:rPr>
        <w:fldChar w:fldCharType="end"/>
      </w:r>
      <w:r>
        <w:rPr>
          <w:rFonts w:ascii="Calibri" w:hAnsi="Calibri" w:asciiTheme="minorHAnsi" w:hAnsiTheme="minorHAnsi"/>
          <w:sz w:val="22"/>
          <w:szCs w:val="22"/>
        </w:rPr>
        <w:tab/>
        <w:t>une vue en plan et des profils en long établis à l’échelle de 1/200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1/1000</w:t>
      </w:r>
      <w:r>
        <w:rPr>
          <w:rFonts w:ascii="Calibri" w:hAnsi="Calibri" w:asciiTheme="minorHAnsi" w:hAnsiTheme="minorHAnsi"/>
          <w:sz w:val="22"/>
          <w:szCs w:val="22"/>
          <w:vertAlign w:val="superscript"/>
        </w:rPr>
        <w:t>e </w:t>
      </w:r>
      <w:r>
        <w:rPr>
          <w:rFonts w:ascii="Calibri" w:hAnsi="Calibri" w:asciiTheme="minorHAnsi" w:hAnsiTheme="minorHAnsi"/>
          <w:sz w:val="22"/>
          <w:szCs w:val="22"/>
        </w:rPr>
        <w:t>;</w:t>
      </w:r>
    </w:p>
    <w:p>
      <w:pPr>
        <w:pStyle w:val="StylePremireligne063cm"/>
        <w:ind w:left="709" w:hanging="0"/>
        <w:rPr>
          <w:rFonts w:ascii="Calibri" w:hAnsi="Calibri" w:asciiTheme="minorHAnsi" w:hAnsiTheme="minorHAnsi"/>
          <w:sz w:val="22"/>
          <w:szCs w:val="22"/>
          <w:highlight w:val="yellow"/>
        </w:rPr>
      </w:pPr>
      <w:r>
        <w:rPr>
          <w:rFonts w:asciiTheme="minorHAnsi" w:hAnsiTheme="minorHAnsi" w:ascii="Calibri" w:hAnsi="Calibri"/>
          <w:sz w:val="22"/>
          <w:szCs w:val="22"/>
          <w:highlight w:val="yellow"/>
        </w:rPr>
      </w:r>
    </w:p>
    <w:p>
      <w:pPr>
        <w:pStyle w:val="StylePremireligne063cm"/>
        <w:tabs>
          <w:tab w:val="clear" w:pos="708"/>
          <w:tab w:val="left" w:pos="1418" w:leader="none"/>
        </w:tabs>
        <w:ind w:left="709" w:hanging="0"/>
        <w:rPr>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90" w:name="CaseACocher96"/>
      <w:bookmarkStart w:id="91" w:name="CaseACocher96"/>
      <w:bookmarkEnd w:id="91"/>
      <w:r>
        <w:rPr>
          <w:rFonts w:ascii="Calibri" w:hAnsi="Calibri"/>
          <w:sz w:val="22"/>
          <w:szCs w:val="22"/>
        </w:rPr>
      </w:r>
      <w:r>
        <w:rPr>
          <w:sz w:val="22"/>
          <w:szCs w:val="22"/>
          <w:rFonts w:ascii="Calibri" w:hAnsi="Calibri"/>
        </w:rPr>
        <w:fldChar w:fldCharType="end"/>
      </w:r>
      <w:r>
        <w:rPr>
          <w:rFonts w:ascii="Calibri" w:hAnsi="Calibri" w:asciiTheme="minorHAnsi" w:hAnsiTheme="minorHAnsi"/>
          <w:sz w:val="22"/>
          <w:szCs w:val="22"/>
        </w:rPr>
        <w:tab/>
        <w:t>des profils en travers établis à l’échelle de 1/100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1/50</w:t>
      </w:r>
      <w:r>
        <w:rPr>
          <w:rFonts w:ascii="Calibri" w:hAnsi="Calibri" w:asciiTheme="minorHAnsi" w:hAnsiTheme="minorHAnsi"/>
          <w:sz w:val="22"/>
          <w:szCs w:val="22"/>
          <w:vertAlign w:val="superscript"/>
        </w:rPr>
        <w:t>e </w:t>
      </w:r>
      <w:r>
        <w:rPr>
          <w:rFonts w:ascii="Calibri" w:hAnsi="Calibri" w:asciiTheme="minorHAnsi" w:hAnsiTheme="minorHAnsi"/>
          <w:sz w:val="22"/>
          <w:szCs w:val="22"/>
        </w:rPr>
        <w:t>;</w:t>
      </w:r>
    </w:p>
    <w:p>
      <w:pPr>
        <w:pStyle w:val="StylePremireligne063cm"/>
        <w:tabs>
          <w:tab w:val="clear" w:pos="708"/>
          <w:tab w:val="left" w:pos="1418" w:leader="none"/>
        </w:tabs>
        <w:ind w:left="709" w:hanging="0"/>
        <w:rPr>
          <w:rFonts w:ascii="Calibri" w:hAnsi="Calibri" w:asciiTheme="minorHAnsi" w:hAnsiTheme="minorHAnsi"/>
          <w:sz w:val="22"/>
          <w:szCs w:val="22"/>
          <w:vertAlign w:val="superscript"/>
        </w:rPr>
      </w:pPr>
      <w:r>
        <w:rPr>
          <w:rFonts w:asciiTheme="minorHAnsi" w:hAnsiTheme="minorHAnsi" w:ascii="Calibri" w:hAnsi="Calibri"/>
          <w:sz w:val="22"/>
          <w:szCs w:val="22"/>
          <w:vertAlign w:val="superscript"/>
        </w:rPr>
      </w:r>
    </w:p>
    <w:p>
      <w:pPr>
        <w:pStyle w:val="StylePremireligne063cm"/>
        <w:tabs>
          <w:tab w:val="clear" w:pos="708"/>
          <w:tab w:val="left" w:pos="1418" w:leader="none"/>
        </w:tabs>
        <w:ind w:left="1418" w:hanging="709"/>
        <w:rPr>
          <w:rStyle w:val="Style135pt"/>
          <w:rFonts w:ascii="Calibri" w:hAnsi="Calibri" w:asciiTheme="minorHAnsi" w:hAnsiTheme="minorHAnsi"/>
          <w:sz w:val="22"/>
          <w:szCs w:val="22"/>
        </w:rPr>
      </w:pPr>
      <w:r>
        <w:rPr>
          <w:rFonts w:ascii="Calibri" w:hAnsi="Calibri" w:asciiTheme="minorHAnsi" w:hAnsiTheme="minorHAnsi"/>
          <w:sz w:val="22"/>
          <w:szCs w:val="22"/>
          <w:vertAlign w:val="superscript"/>
        </w:rPr>
        <w:t xml:space="preserve"> </w:t>
      </w:r>
      <w:r>
        <w:fldChar w:fldCharType="begin">
          <w:ffData>
            <w:name w:val=""/>
            <w:enabled/>
            <w:calcOnExit w:val="0"/>
            <w:checkBox>
              <w:sizeAuto/>
            </w:checkBox>
          </w:ffData>
        </w:fldChar>
      </w:r>
      <w:r>
        <w:rPr>
          <w:vertAlign w:val="superscript"/>
          <w:sz w:val="22"/>
          <w:szCs w:val="22"/>
          <w:rFonts w:ascii="Calibri" w:hAnsi="Calibri"/>
        </w:rPr>
        <w:instrText xml:space="preserve"> FORMCHECKBOX </w:instrText>
      </w:r>
      <w:r>
        <w:rPr>
          <w:vertAlign w:val="superscript"/>
          <w:sz w:val="22"/>
          <w:szCs w:val="22"/>
          <w:rFonts w:ascii="Calibri" w:hAnsi="Calibri"/>
        </w:rPr>
        <w:fldChar w:fldCharType="separate"/>
      </w:r>
      <w:bookmarkStart w:id="92" w:name="CaseACocher35_Copie_1"/>
      <w:bookmarkStart w:id="93" w:name="CaseACocher35_Copie_1"/>
      <w:bookmarkEnd w:id="93"/>
      <w:r>
        <w:rPr>
          <w:rFonts w:ascii="Calibri" w:hAnsi="Calibri" w:asciiTheme="minorHAnsi" w:hAnsiTheme="minorHAnsi"/>
          <w:sz w:val="22"/>
          <w:szCs w:val="22"/>
          <w:vertAlign w:val="superscript"/>
        </w:rPr>
      </w:r>
      <w:r>
        <w:rPr>
          <w:vertAlign w:val="superscript"/>
          <w:sz w:val="22"/>
          <w:szCs w:val="22"/>
          <w:rFonts w:ascii="Calibri" w:hAnsi="Calibri"/>
        </w:rPr>
        <w:fldChar w:fldCharType="end"/>
      </w:r>
      <w:r>
        <w:rPr>
          <w:rStyle w:val="Style135pt"/>
          <w:rFonts w:ascii="Calibri" w:hAnsi="Calibri" w:asciiTheme="minorHAnsi" w:hAnsiTheme="minorHAnsi"/>
          <w:sz w:val="22"/>
          <w:szCs w:val="22"/>
        </w:rPr>
        <w:t xml:space="preserve">      </w:t>
        <w:tab/>
        <w:t>une coupe-type avec les matériaux projetés ; la coupe-type peut être fixée en fonction d’un cahier des charges imposé par l’autorité compétente ;</w:t>
      </w:r>
    </w:p>
    <w:p>
      <w:pPr>
        <w:pStyle w:val="StylePremireligne063cm"/>
        <w:tabs>
          <w:tab w:val="clear" w:pos="708"/>
          <w:tab w:val="left" w:pos="1418" w:leader="none"/>
        </w:tabs>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tabs>
          <w:tab w:val="clear" w:pos="708"/>
          <w:tab w:val="left" w:pos="1418" w:leader="none"/>
        </w:tabs>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ormal"/>
        <w:ind w:left="709" w:hanging="708"/>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94" w:name="CaseACocher34_Copie_2"/>
      <w:bookmarkStart w:id="95" w:name="CaseACocher34_Copie_2"/>
      <w:bookmarkEnd w:id="95"/>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 xml:space="preserve">le cas échéant, le dossier technique relatif à la suppression de la voirie communale, qui comprend : </w:t>
      </w:r>
    </w:p>
    <w:p>
      <w:pPr>
        <w:pStyle w:val="StylePremireligne063cm"/>
        <w:tabs>
          <w:tab w:val="clear" w:pos="708"/>
          <w:tab w:val="left" w:pos="1418" w:leader="none"/>
        </w:tabs>
        <w:ind w:left="1418" w:hanging="709"/>
        <w:rPr>
          <w:rFonts w:ascii="Calibri" w:hAnsi="Calibri" w:asciiTheme="minorHAnsi" w:hAnsiTheme="minorHAnsi"/>
          <w:sz w:val="22"/>
          <w:szCs w:val="22"/>
          <w:highlight w:val="yellow"/>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96" w:name="CaseACocher26_Copie_7"/>
      <w:bookmarkStart w:id="97" w:name="CaseACocher26_Copie_7"/>
      <w:bookmarkEnd w:id="97"/>
      <w:r>
        <w:rPr>
          <w:rFonts w:ascii="Calibri" w:hAnsi="Calibri"/>
          <w:sz w:val="22"/>
          <w:szCs w:val="22"/>
        </w:rPr>
      </w:r>
      <w:r>
        <w:rPr>
          <w:sz w:val="22"/>
          <w:szCs w:val="22"/>
          <w:rFonts w:ascii="Calibri" w:hAnsi="Calibri"/>
        </w:rPr>
        <w:fldChar w:fldCharType="end"/>
      </w:r>
      <w:r>
        <w:rPr>
          <w:rFonts w:ascii="Calibri" w:hAnsi="Calibri" w:asciiTheme="minorHAnsi" w:hAnsiTheme="minorHAnsi"/>
          <w:sz w:val="22"/>
          <w:szCs w:val="22"/>
        </w:rPr>
        <w:tab/>
        <w:t>une vue en plan de la voirie à supprimer ;</w:t>
      </w:r>
    </w:p>
    <w:p>
      <w:pPr>
        <w:pStyle w:val="StylePremireligne063cm"/>
        <w:tabs>
          <w:tab w:val="clear" w:pos="708"/>
          <w:tab w:val="left" w:pos="1418" w:leader="none"/>
        </w:tabs>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eastAsia="Times New Roman" w:cs="Times New Roman" w:asciiTheme="minorHAnsi" w:hAnsiTheme="minorHAnsi"/>
          <w:lang w:val="fr-FR" w:eastAsia="fr-F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98" w:name="CaseACocher34_Copie_3"/>
      <w:bookmarkStart w:id="99" w:name="CaseACocher34_Copie_3"/>
      <w:bookmarkEnd w:id="99"/>
      <w:r>
        <w:rPr>
          <w:rFonts w:ascii="Calibri" w:hAnsi="Calibri"/>
        </w:rPr>
      </w:r>
      <w:r>
        <w:rPr>
          <w:rFonts w:ascii="Calibri" w:hAnsi="Calibri"/>
        </w:rPr>
        <w:fldChar w:fldCharType="end"/>
      </w:r>
      <w:r>
        <w:rPr>
          <w:rFonts w:eastAsia="Times New Roman" w:cs="Times New Roman" w:ascii="Calibri" w:hAnsi="Calibri" w:asciiTheme="minorHAnsi" w:hAnsiTheme="minorHAnsi"/>
          <w:lang w:val="fr-FR" w:eastAsia="fr-FR"/>
        </w:rPr>
        <w:tab/>
        <w:t>lorsque le projet comprend la création, l'extension ou la modification d'une voirie communale ou régionale, l'avis des impétrants concernés sur la faisabilité technique du projet ;</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12 – En cas de modification d’un permis d’urbanisation</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tbl>
      <w:tblPr>
        <w:tblStyle w:val="Grilledutableau"/>
        <w:tblW w:w="957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77"/>
      </w:tblGrid>
      <w:tr>
        <w:trPr>
          <w:trHeight w:val="5938" w:hRule="atLeast"/>
        </w:trPr>
        <w:tc>
          <w:tcPr>
            <w:tcW w:w="957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b/>
                <w:kern w:val="0"/>
                <w:sz w:val="22"/>
                <w:szCs w:val="22"/>
                <w:lang w:val="fr-FR" w:eastAsia="fr-FR" w:bidi="ar-SA"/>
              </w:rPr>
              <w:t>La liste des propriétaires d’un lot ayant contresigné la demande en application de l’article D.IV.95§3 du CoDT.</w:t>
            </w:r>
          </w:p>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b/>
                <w:kern w:val="0"/>
                <w:sz w:val="22"/>
                <w:szCs w:val="22"/>
                <w:lang w:val="fr-FR" w:eastAsia="fr-FR" w:bidi="ar-SA"/>
              </w:rPr>
              <w:t>Pour les propriétaires qui n’ont pas contresignés la demande, joindre en annexe la preuve des envois visés à l’article D.IV.95,§2 ou §3 du CoDT.</w:t>
            </w:r>
          </w:p>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bl>
            <w:tblPr>
              <w:tblStyle w:val="Grilledutableau"/>
              <w:tblW w:w="8709" w:type="dxa"/>
              <w:jc w:val="left"/>
              <w:tblInd w:w="289" w:type="dxa"/>
              <w:tblLayout w:type="fixed"/>
              <w:tblCellMar>
                <w:top w:w="0" w:type="dxa"/>
                <w:left w:w="108" w:type="dxa"/>
                <w:bottom w:w="0" w:type="dxa"/>
                <w:right w:w="108" w:type="dxa"/>
              </w:tblCellMar>
              <w:tblLook w:firstRow="1" w:noVBand="1" w:lastRow="0" w:firstColumn="1" w:lastColumn="0" w:noHBand="0" w:val="04a0"/>
            </w:tblPr>
            <w:tblGrid>
              <w:gridCol w:w="2009"/>
              <w:gridCol w:w="3057"/>
              <w:gridCol w:w="1605"/>
              <w:gridCol w:w="2037"/>
            </w:tblGrid>
            <w:tr>
              <w:trPr>
                <w:trHeight w:val="835" w:hRule="atLeast"/>
              </w:trPr>
              <w:tc>
                <w:tcPr>
                  <w:tcW w:w="2009" w:type="dxa"/>
                  <w:tcBorders/>
                </w:tcPr>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b/>
                      <w:kern w:val="0"/>
                      <w:sz w:val="22"/>
                      <w:szCs w:val="22"/>
                      <w:lang w:val="fr-FR" w:eastAsia="fr-FR" w:bidi="ar-SA"/>
                    </w:rPr>
                    <w:t>NOM</w:t>
                  </w:r>
                </w:p>
              </w:tc>
              <w:tc>
                <w:tcPr>
                  <w:tcW w:w="3057" w:type="dxa"/>
                  <w:tcBorders/>
                </w:tcPr>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b/>
                      <w:kern w:val="0"/>
                      <w:sz w:val="22"/>
                      <w:szCs w:val="22"/>
                      <w:lang w:val="fr-FR" w:eastAsia="fr-FR" w:bidi="ar-SA"/>
                    </w:rPr>
                    <w:t>PROPRIETAIRE LOT N°</w:t>
                  </w:r>
                </w:p>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1605" w:type="dxa"/>
                  <w:tcBorders/>
                </w:tcPr>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b/>
                      <w:kern w:val="0"/>
                      <w:sz w:val="22"/>
                      <w:szCs w:val="22"/>
                      <w:lang w:val="fr-FR" w:eastAsia="fr-FR" w:bidi="ar-SA"/>
                    </w:rPr>
                    <w:t>DATE</w:t>
                  </w:r>
                </w:p>
              </w:tc>
              <w:tc>
                <w:tcPr>
                  <w:tcW w:w="2037" w:type="dxa"/>
                  <w:tcBorders/>
                </w:tcPr>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p>
                  <w:pPr>
                    <w:pStyle w:val="Normal"/>
                    <w:widowControl/>
                    <w:spacing w:before="0" w:after="0"/>
                    <w:jc w:val="center"/>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b/>
                      <w:kern w:val="0"/>
                      <w:sz w:val="22"/>
                      <w:szCs w:val="22"/>
                      <w:lang w:val="fr-FR" w:eastAsia="fr-FR" w:bidi="ar-SA"/>
                    </w:rPr>
                    <w:t>SIGNATURE</w:t>
                  </w:r>
                </w:p>
              </w:tc>
            </w:tr>
            <w:tr>
              <w:trPr>
                <w:trHeight w:val="589" w:hRule="atLeast"/>
              </w:trPr>
              <w:tc>
                <w:tcPr>
                  <w:tcW w:w="2009"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305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1605"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203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r>
            <w:tr>
              <w:trPr>
                <w:trHeight w:val="589" w:hRule="atLeast"/>
              </w:trPr>
              <w:tc>
                <w:tcPr>
                  <w:tcW w:w="2009"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305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1605"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203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r>
            <w:tr>
              <w:trPr>
                <w:trHeight w:val="589" w:hRule="atLeast"/>
              </w:trPr>
              <w:tc>
                <w:tcPr>
                  <w:tcW w:w="2009"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305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1605"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203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r>
            <w:tr>
              <w:trPr>
                <w:trHeight w:val="589" w:hRule="atLeast"/>
              </w:trPr>
              <w:tc>
                <w:tcPr>
                  <w:tcW w:w="2009"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305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1605"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203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r>
            <w:tr>
              <w:trPr>
                <w:trHeight w:val="589" w:hRule="atLeast"/>
              </w:trPr>
              <w:tc>
                <w:tcPr>
                  <w:tcW w:w="2009"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305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1605"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c>
                <w:tcPr>
                  <w:tcW w:w="2037" w:type="dxa"/>
                  <w:tcBorders/>
                </w:tcPr>
                <w:p>
                  <w:pPr>
                    <w:pStyle w:val="Normal"/>
                    <w:widowControl/>
                    <w:spacing w:before="0" w:after="0"/>
                    <w:jc w:val="both"/>
                    <w:rPr>
                      <w:rFonts w:ascii="Calibri" w:hAnsi="Calibri" w:eastAsia="Times New Roman" w:cs="Times New Roman" w:asciiTheme="minorHAnsi" w:hAnsiTheme="minorHAnsi"/>
                      <w:b/>
                      <w:lang w:val="fr-FR" w:eastAsia="fr-FR"/>
                    </w:rPr>
                  </w:pPr>
                  <w:r>
                    <w:rPr>
                      <w:rFonts w:eastAsia="Times New Roman" w:cs="Times New Roman" w:ascii="Calibri" w:hAnsi="Calibri"/>
                      <w:b/>
                      <w:kern w:val="0"/>
                      <w:sz w:val="22"/>
                      <w:szCs w:val="22"/>
                      <w:lang w:val="fr-FR" w:eastAsia="fr-FR" w:bidi="ar-SA"/>
                    </w:rPr>
                  </w:r>
                </w:p>
              </w:tc>
            </w:tr>
          </w:tbl>
          <w:p>
            <w:pPr>
              <w:pStyle w:val="Normal"/>
              <w:widowControl/>
              <w:spacing w:before="0" w:after="0"/>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kern w:val="0"/>
                <w:sz w:val="36"/>
                <w:szCs w:val="36"/>
                <w:lang w:val="fr-FR" w:eastAsia="fr-FR" w:bidi="ar-SA"/>
              </w:rPr>
            </w:r>
          </w:p>
        </w:tc>
      </w:tr>
    </w:tbl>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r>
        <w:br w:type="page"/>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13 -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jc w:val="center"/>
        <w:rPr>
          <w:rFonts w:ascii="Calibri" w:hAnsi="Calibri" w:asciiTheme="minorHAnsi" w:hAnsiTheme="minorHAnsi"/>
          <w:b/>
          <w:lang w:eastAsia="fr-BE"/>
        </w:rPr>
      </w:pPr>
      <w:r>
        <w:rPr>
          <w:rFonts w:asciiTheme="minorHAnsi" w:hAnsiTheme="minorHAnsi" w:ascii="Calibri" w:hAnsi="Calibri"/>
          <w:b/>
          <w:lang w:eastAsia="fr-BE"/>
        </w:rPr>
      </w:r>
    </w:p>
    <w:p>
      <w:pPr>
        <w:pStyle w:val="Normal"/>
        <w:jc w:val="center"/>
        <w:rPr>
          <w:rFonts w:ascii="Calibri" w:hAnsi="Calibri" w:asciiTheme="minorHAnsi" w:hAnsiTheme="minorHAnsi"/>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trente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 et à l’Administration du Patrimoine dans les hypothèses visées à l’article D.67, §1</w:t>
      </w:r>
      <w:r>
        <w:rPr>
          <w:rStyle w:val="Style135pt"/>
          <w:rFonts w:eastAsia="Times New Roman" w:ascii="Calibri" w:hAnsi="Calibri" w:asciiTheme="minorHAnsi" w:hAnsiTheme="minorHAnsi"/>
          <w:color w:val="auto"/>
          <w:w w:val="100"/>
          <w:kern w:val="0"/>
          <w:sz w:val="22"/>
          <w:szCs w:val="22"/>
          <w:vertAlign w:val="superscript"/>
          <w:lang w:eastAsia="fr-FR" w:bidi="ar-SA"/>
        </w:rPr>
        <w:t>er</w:t>
      </w:r>
      <w:r>
        <w:rPr>
          <w:rStyle w:val="Style135pt"/>
          <w:rFonts w:eastAsia="Times New Roman" w:ascii="Calibri" w:hAnsi="Calibri" w:asciiTheme="minorHAnsi" w:hAnsiTheme="minorHAnsi"/>
          <w:color w:val="auto"/>
          <w:w w:val="100"/>
          <w:kern w:val="0"/>
          <w:sz w:val="22"/>
          <w:szCs w:val="22"/>
          <w:lang w:eastAsia="fr-FR" w:bidi="ar-SA"/>
        </w:rPr>
        <w:t>, du code wallon du Patrimoine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trente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quarante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quarante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trente jours, la demande est considérée comme recevable et la procédure est poursuivie.</w:t>
      </w:r>
    </w:p>
    <w:p>
      <w:pPr>
        <w:pStyle w:val="Pa4"/>
        <w:spacing w:before="300" w:after="100"/>
        <w:jc w:val="center"/>
        <w:rPr>
          <w:rFonts w:ascii="Calibri" w:hAnsi="Calibri" w:asciiTheme="minorHAnsi" w:hAnsiTheme="minorHAnsi"/>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spacing w:before="280" w:after="280"/>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 xml:space="preserve">Data Protection Officer- DPO) via courriel à l’adresse suivante :  </w:t>
      </w:r>
      <w:hyperlink r:id="rId7">
        <w:r>
          <w:rPr>
            <w:rStyle w:val="LienInternet"/>
            <w:rFonts w:ascii="Calibri" w:hAnsi="Calibri" w:asciiTheme="minorHAnsi" w:hAnsiTheme="minorHAnsi"/>
            <w:iCs/>
            <w:sz w:val="22"/>
            <w:shd w:fill="FFFFFF" w:val="clear"/>
          </w:rPr>
          <w:t>dpo@lalouviere.be</w:t>
        </w:r>
      </w:hyperlink>
      <w:r>
        <w:rPr>
          <w:rStyle w:val="Style135pt"/>
          <w:rFonts w:ascii="Calibri" w:hAnsi="Calibri" w:asciiTheme="minorHAnsi" w:hAnsiTheme="minorHAnsi"/>
          <w:iCs/>
          <w:sz w:val="22"/>
          <w:shd w:fill="FFFFFF" w:val="clear"/>
        </w:rPr>
        <w:t xml:space="preserve"> ou  à l’adresse postale suivante : </w:t>
      </w:r>
    </w:p>
    <w:p>
      <w:pPr>
        <w:pStyle w:val="Normal"/>
        <w:jc w:val="center"/>
        <w:rPr/>
      </w:pPr>
      <w:r>
        <w:rPr>
          <w:rStyle w:val="Style135pt"/>
          <w:rFonts w:ascii="Calibri" w:hAnsi="Calibri"/>
          <w:iCs/>
          <w:sz w:val="22"/>
          <w:shd w:fill="FFFFFF" w:val="clear"/>
        </w:rPr>
        <w:t>Collège communal de la Ville de La Louvière</w:t>
      </w:r>
    </w:p>
    <w:p>
      <w:pPr>
        <w:pStyle w:val="Normal"/>
        <w:jc w:val="center"/>
        <w:rPr/>
      </w:pPr>
      <w:r>
        <w:rPr>
          <w:rStyle w:val="Style135pt"/>
          <w:rFonts w:ascii="Calibri" w:hAnsi="Calibri"/>
          <w:iCs/>
          <w:sz w:val="22"/>
          <w:shd w:fill="FFFFFF" w:val="clear"/>
        </w:rPr>
        <w:t>Place Communale 1</w:t>
      </w:r>
    </w:p>
    <w:p>
      <w:pPr>
        <w:pStyle w:val="Normal"/>
        <w:jc w:val="center"/>
        <w:rPr/>
      </w:pPr>
      <w:r>
        <w:rPr>
          <w:rStyle w:val="Style135pt"/>
          <w:rFonts w:ascii="Calibri" w:hAnsi="Calibri" w:asciiTheme="minorHAnsi" w:hAnsiTheme="minorHAnsi"/>
          <w:iCs/>
          <w:sz w:val="22"/>
          <w:shd w:fill="FFFFFF" w:val="clear"/>
        </w:rPr>
        <w:t xml:space="preserve">7100 La Louvière </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
    </w:p>
    <w:sectPr>
      <w:headerReference w:type="even" r:id="rId10"/>
      <w:headerReference w:type="default" r:id="rId11"/>
      <w:headerReference w:type="first" r:id="rId12"/>
      <w:footerReference w:type="even" r:id="rId13"/>
      <w:footerReference w:type="default" r:id="rId14"/>
      <w:footerReference w:type="first" r:id="rId15"/>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31570147"/>
    </w:sdtPr>
    <w:sdtContent>
      <w:p>
        <w:pPr>
          <w:pStyle w:val="Pieddepage"/>
          <w:jc w:val="center"/>
          <w:rPr/>
        </w:pPr>
        <w:r>
          <w:rPr/>
          <w:fldChar w:fldCharType="begin"/>
        </w:r>
        <w:r>
          <w:rPr/>
          <w:instrText xml:space="preserve"> PAGE </w:instrText>
        </w:r>
        <w:r>
          <w:rPr/>
          <w:fldChar w:fldCharType="separate"/>
        </w:r>
        <w:r>
          <w:rPr/>
          <w:t>11</w:t>
        </w:r>
        <w:r>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85269568"/>
    </w:sdtPr>
    <w:sdtContent>
      <w:p>
        <w:pPr>
          <w:pStyle w:val="Pieddepage"/>
          <w:jc w:val="center"/>
          <w:rPr/>
        </w:pPr>
        <w:r>
          <w:rPr/>
          <w:fldChar w:fldCharType="begin"/>
        </w:r>
        <w:r>
          <w:rPr/>
          <w:instrText xml:space="preserve"> PAGE </w:instrText>
        </w:r>
        <w:r>
          <w:rPr/>
          <w:fldChar w:fldCharType="separate"/>
        </w:r>
        <w:r>
          <w:rPr/>
          <w:t>11</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11</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11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1070" w:hanging="360"/>
      </w:pPr>
      <w:rPr>
        <w:rFonts w:ascii="Courier New" w:hAnsi="Courier New" w:cs="Courier New" w:hint="default"/>
      </w:rPr>
    </w:lvl>
    <w:lvl w:ilvl="1">
      <w:start w:val="1"/>
      <w:numFmt w:val="bullet"/>
      <w:lvlText w:val="o"/>
      <w:lvlJc w:val="left"/>
      <w:pPr>
        <w:tabs>
          <w:tab w:val="num" w:pos="0"/>
        </w:tabs>
        <w:ind w:left="1790" w:hanging="360"/>
      </w:pPr>
      <w:rPr>
        <w:rFonts w:ascii="Courier New" w:hAnsi="Courier New" w:cs="Courier New" w:hint="default"/>
      </w:rPr>
    </w:lvl>
    <w:lvl w:ilvl="2">
      <w:start w:val="1"/>
      <w:numFmt w:val="bullet"/>
      <w:lvlText w:val=""/>
      <w:lvlJc w:val="left"/>
      <w:pPr>
        <w:tabs>
          <w:tab w:val="num" w:pos="0"/>
        </w:tabs>
        <w:ind w:left="2510" w:hanging="360"/>
      </w:pPr>
      <w:rPr>
        <w:rFonts w:ascii="Wingdings" w:hAnsi="Wingdings" w:cs="Wingdings" w:hint="default"/>
      </w:rPr>
    </w:lvl>
    <w:lvl w:ilvl="3">
      <w:start w:val="1"/>
      <w:numFmt w:val="bullet"/>
      <w:lvlText w:val=""/>
      <w:lvlJc w:val="left"/>
      <w:pPr>
        <w:tabs>
          <w:tab w:val="num" w:pos="0"/>
        </w:tabs>
        <w:ind w:left="3230" w:hanging="360"/>
      </w:pPr>
      <w:rPr>
        <w:rFonts w:ascii="Symbol" w:hAnsi="Symbol" w:cs="Symbol" w:hint="default"/>
      </w:rPr>
    </w:lvl>
    <w:lvl w:ilvl="4">
      <w:start w:val="1"/>
      <w:numFmt w:val="bullet"/>
      <w:lvlText w:val="o"/>
      <w:lvlJc w:val="left"/>
      <w:pPr>
        <w:tabs>
          <w:tab w:val="num" w:pos="0"/>
        </w:tabs>
        <w:ind w:left="3950" w:hanging="360"/>
      </w:pPr>
      <w:rPr>
        <w:rFonts w:ascii="Courier New" w:hAnsi="Courier New" w:cs="Courier New" w:hint="default"/>
      </w:rPr>
    </w:lvl>
    <w:lvl w:ilvl="5">
      <w:start w:val="1"/>
      <w:numFmt w:val="bullet"/>
      <w:lvlText w:val=""/>
      <w:lvlJc w:val="left"/>
      <w:pPr>
        <w:tabs>
          <w:tab w:val="num" w:pos="0"/>
        </w:tabs>
        <w:ind w:left="4670" w:hanging="360"/>
      </w:pPr>
      <w:rPr>
        <w:rFonts w:ascii="Wingdings" w:hAnsi="Wingdings" w:cs="Wingdings" w:hint="default"/>
      </w:rPr>
    </w:lvl>
    <w:lvl w:ilvl="6">
      <w:start w:val="1"/>
      <w:numFmt w:val="bullet"/>
      <w:lvlText w:val=""/>
      <w:lvlJc w:val="left"/>
      <w:pPr>
        <w:tabs>
          <w:tab w:val="num" w:pos="0"/>
        </w:tabs>
        <w:ind w:left="5390" w:hanging="360"/>
      </w:pPr>
      <w:rPr>
        <w:rFonts w:ascii="Symbol" w:hAnsi="Symbol" w:cs="Symbol" w:hint="default"/>
      </w:rPr>
    </w:lvl>
    <w:lvl w:ilvl="7">
      <w:start w:val="1"/>
      <w:numFmt w:val="bullet"/>
      <w:lvlText w:val="o"/>
      <w:lvlJc w:val="left"/>
      <w:pPr>
        <w:tabs>
          <w:tab w:val="num" w:pos="0"/>
        </w:tabs>
        <w:ind w:left="6110" w:hanging="360"/>
      </w:pPr>
      <w:rPr>
        <w:rFonts w:ascii="Courier New" w:hAnsi="Courier New" w:cs="Courier New" w:hint="default"/>
      </w:rPr>
    </w:lvl>
    <w:lvl w:ilvl="8">
      <w:start w:val="1"/>
      <w:numFmt w:val="bullet"/>
      <w:lvlText w:val=""/>
      <w:lvlJc w:val="left"/>
      <w:pPr>
        <w:tabs>
          <w:tab w:val="num" w:pos="0"/>
        </w:tabs>
        <w:ind w:left="6830" w:hanging="360"/>
      </w:pPr>
      <w:rPr>
        <w:rFonts w:ascii="Wingdings" w:hAnsi="Wingdings" w:cs="Wingdings" w:hint="default"/>
      </w:rPr>
    </w:lvl>
  </w:abstractNum>
  <w:abstractNum w:abstractNumId="2">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
    <w:lvl w:ilvl="0">
      <w:start w:val="1"/>
      <w:numFmt w:val="bullet"/>
      <w:lvlText w:val="o"/>
      <w:lvlJc w:val="left"/>
      <w:pPr>
        <w:tabs>
          <w:tab w:val="num" w:pos="0"/>
        </w:tabs>
        <w:ind w:left="1353" w:hanging="360"/>
      </w:pPr>
      <w:rPr>
        <w:rFonts w:ascii="Courier New" w:hAnsi="Courier New" w:cs="Courier New"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5">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1e44"/>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75737f"/>
    <w:rPr/>
  </w:style>
  <w:style w:type="character" w:styleId="PieddepageCar" w:customStyle="1">
    <w:name w:val="Pied de page Car"/>
    <w:basedOn w:val="DefaultParagraphFont"/>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BalloonText"/>
    <w:uiPriority w:val="99"/>
    <w:semiHidden/>
    <w:qFormat/>
    <w:rsid w:val="00846ebb"/>
    <w:rPr>
      <w:rFonts w:ascii="Tahoma" w:hAnsi="Tahoma" w:cs="Tahoma"/>
      <w:sz w:val="16"/>
      <w:szCs w:val="16"/>
    </w:rPr>
  </w:style>
  <w:style w:type="character" w:styleId="Annotationreference">
    <w:name w:val="annotation reference"/>
    <w:basedOn w:val="DefaultParagraphFont"/>
    <w:uiPriority w:val="99"/>
    <w:unhideWhenUsed/>
    <w:qFormat/>
    <w:rsid w:val="001f706b"/>
    <w:rPr>
      <w:sz w:val="16"/>
      <w:szCs w:val="16"/>
    </w:rPr>
  </w:style>
  <w:style w:type="character" w:styleId="CommentaireCar" w:customStyle="1">
    <w:name w:val="Commentaire Car"/>
    <w:basedOn w:val="DefaultParagraphFont"/>
    <w:link w:val="Annotationtext"/>
    <w:uiPriority w:val="99"/>
    <w:qFormat/>
    <w:rsid w:val="001f706b"/>
    <w:rPr>
      <w:sz w:val="20"/>
      <w:szCs w:val="20"/>
    </w:rPr>
  </w:style>
  <w:style w:type="character" w:styleId="ObjetducommentaireCar" w:customStyle="1">
    <w:name w:val="Objet du commentaire Car"/>
    <w:basedOn w:val="CommentaireCar"/>
    <w:link w:val="Annotationsubject"/>
    <w:uiPriority w:val="99"/>
    <w:semiHidden/>
    <w:qFormat/>
    <w:rsid w:val="001f706b"/>
    <w:rPr>
      <w:b/>
      <w:bCs/>
      <w:sz w:val="20"/>
      <w:szCs w:val="20"/>
    </w:rPr>
  </w:style>
  <w:style w:type="character" w:styleId="ParagraphedelisteCar" w:customStyle="1">
    <w:name w:val="Paragraphe de liste Car"/>
    <w:link w:val="ListParagraph"/>
    <w:uiPriority w:val="34"/>
    <w:qFormat/>
    <w:rsid w:val="00793f94"/>
    <w:rPr>
      <w:rFonts w:ascii="Calibri" w:hAnsi="Calibri" w:asciiTheme="minorHAnsi" w:hAnsiTheme="minorHAnsi"/>
    </w:rPr>
  </w:style>
  <w:style w:type="character" w:styleId="A4" w:customStyle="1">
    <w:name w:val="A4"/>
    <w:uiPriority w:val="99"/>
    <w:qFormat/>
    <w:rsid w:val="00885de9"/>
    <w:rPr>
      <w:color w:val="000000"/>
      <w:sz w:val="11"/>
      <w:szCs w:val="11"/>
    </w:rPr>
  </w:style>
  <w:style w:type="character" w:styleId="LienInternet">
    <w:name w:val="Hyperlink"/>
    <w:basedOn w:val="DefaultParagraphFont"/>
    <w:uiPriority w:val="99"/>
    <w:unhideWhenUsed/>
    <w:rsid w:val="00a52b9a"/>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link w:val="ParagraphedelisteCar"/>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2c6201"/>
    <w:pPr>
      <w:spacing w:before="0" w:after="120"/>
      <w:jc w:val="both"/>
    </w:pPr>
    <w:rPr>
      <w:rFonts w:ascii="Arial" w:hAnsi="Arial" w:eastAsia="Times New Roman" w:cs="Times New Roman"/>
      <w:sz w:val="20"/>
      <w:szCs w:val="24"/>
      <w:lang w:val="fr-FR" w:eastAsia="fr-FR"/>
    </w:rPr>
  </w:style>
  <w:style w:type="paragraph" w:styleId="Tirets" w:customStyle="1">
    <w:name w:val="Tirets"/>
    <w:basedOn w:val="Textecourant"/>
    <w:qFormat/>
    <w:rsid w:val="00030d78"/>
    <w:pPr>
      <w:tabs>
        <w:tab w:val="clear" w:pos="708"/>
        <w:tab w:val="left" w:pos="312" w:leader="none"/>
      </w:tabs>
      <w:spacing w:before="0" w:after="57"/>
      <w:ind w:hanging="0"/>
    </w:pPr>
    <w:rPr>
      <w:w w:val="98"/>
    </w:rPr>
  </w:style>
  <w:style w:type="paragraph" w:styleId="BalloonText">
    <w:name w:val="Balloon Text"/>
    <w:basedOn w:val="Normal"/>
    <w:link w:val="TextedebullesCar"/>
    <w:uiPriority w:val="99"/>
    <w:semiHidden/>
    <w:unhideWhenUsed/>
    <w:qFormat/>
    <w:rsid w:val="00846ebb"/>
    <w:pPr/>
    <w:rPr>
      <w:rFonts w:ascii="Tahoma" w:hAnsi="Tahoma" w:cs="Tahoma"/>
      <w:sz w:val="16"/>
      <w:szCs w:val="16"/>
    </w:rPr>
  </w:style>
  <w:style w:type="paragraph" w:styleId="Annotationtext">
    <w:name w:val="annotation text"/>
    <w:basedOn w:val="Normal"/>
    <w:link w:val="CommentaireCar"/>
    <w:uiPriority w:val="99"/>
    <w:unhideWhenUsed/>
    <w:qFormat/>
    <w:rsid w:val="001f706b"/>
    <w:pPr/>
    <w:rPr>
      <w:sz w:val="20"/>
      <w:szCs w:val="20"/>
    </w:rPr>
  </w:style>
  <w:style w:type="paragraph" w:styleId="Annotationsubject">
    <w:name w:val="annotation subject"/>
    <w:basedOn w:val="Annotationtext"/>
    <w:next w:val="Annotationtext"/>
    <w:link w:val="ObjetducommentaireCar"/>
    <w:uiPriority w:val="99"/>
    <w:semiHidden/>
    <w:unhideWhenUsed/>
    <w:qFormat/>
    <w:rsid w:val="001f706b"/>
    <w:pPr/>
    <w:rPr>
      <w:b/>
      <w:bCs/>
    </w:rPr>
  </w:style>
  <w:style w:type="paragraph" w:styleId="Revision">
    <w:name w:val="Revision"/>
    <w:uiPriority w:val="99"/>
    <w:semiHidden/>
    <w:qFormat/>
    <w:rsid w:val="007c4627"/>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paragraph" w:styleId="Pa5" w:customStyle="1">
    <w:name w:val="Pa5"/>
    <w:basedOn w:val="Normal"/>
    <w:next w:val="Normal"/>
    <w:uiPriority w:val="99"/>
    <w:qFormat/>
    <w:rsid w:val="00885de9"/>
    <w:pPr>
      <w:spacing w:lineRule="atLeast" w:line="191"/>
    </w:pPr>
    <w:rPr>
      <w:rFonts w:ascii="Times" w:hAnsi="Times" w:cs="Times"/>
      <w:sz w:val="24"/>
      <w:szCs w:val="24"/>
    </w:rPr>
  </w:style>
  <w:style w:type="paragraph" w:styleId="NormalWeb">
    <w:name w:val="Normal (Web)"/>
    <w:basedOn w:val="Normal"/>
    <w:uiPriority w:val="99"/>
    <w:unhideWhenUsed/>
    <w:qFormat/>
    <w:rsid w:val="00885de9"/>
    <w:pPr>
      <w:spacing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dpo@lalouviere.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4AA4B-677F-4AF6-A602-C79815664B6C}">
  <ds:schemaRefs>
    <ds:schemaRef ds:uri="http://schemas.microsoft.com/office/2006/metadata/properties"/>
    <ds:schemaRef ds:uri="http://schemas.microsoft.com/office/infopath/2007/PartnerControls"/>
    <ds:schemaRef ds:uri="3c09b667-d44e-4a8c-8a1c-211b711edf9a"/>
  </ds:schemaRefs>
</ds:datastoreItem>
</file>

<file path=customXml/itemProps2.xml><?xml version="1.0" encoding="utf-8"?>
<ds:datastoreItem xmlns:ds="http://schemas.openxmlformats.org/officeDocument/2006/customXml" ds:itemID="{1BE84444-BBA2-48ED-AF7F-1A32D690B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39A28-8757-4C12-9BB9-FC1508909C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LibreOffice/7.5.5.2$Windows_X86_64 LibreOffice_project/ca8fe7424262805f223b9a2334bc7181abbcbf5e</Application>
  <AppVersion>15.0000</AppVersion>
  <Pages>13</Pages>
  <Words>3501</Words>
  <Characters>21341</Characters>
  <CharactersWithSpaces>24800</CharactersWithSpaces>
  <Paragraphs>223</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2024-05-17T07:27:00Z</dcterms:created>
  <dc:creator>DESPAGNE</dc:creator>
  <dc:description/>
  <dc:language>fr-BE</dc:language>
  <cp:lastModifiedBy/>
  <cp:lastPrinted>2016-12-21T16:23:00Z</cp:lastPrinted>
  <dcterms:modified xsi:type="dcterms:W3CDTF">2024-06-11T14:34:01Z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0x010100CF75DCF42861D643BEA41C7D9D9ECF01</vt:lpwstr>
  </property>
  <property fmtid="{D5CDD505-2E9C-101B-9397-08002B2CF9AE}" pid="3" name="MSIP_Label_e72a09c5-6e26-4737-a926-47ef1ab198ae_ActionId">
    <vt:lpwstr>bf2aca0d-cc33-4a18-bbd0-3c9bca11ba3a</vt:lpwstr>
  </property>
  <property fmtid="{D5CDD505-2E9C-101B-9397-08002B2CF9AE}" pid="4" name="MSIP_Label_e72a09c5-6e26-4737-a926-47ef1ab198ae_Application">
    <vt:lpwstr>Microsoft Azure Information Protection</vt:lpwstr>
  </property>
  <property fmtid="{D5CDD505-2E9C-101B-9397-08002B2CF9AE}" pid="5" name="MSIP_Label_e72a09c5-6e26-4737-a926-47ef1ab198ae_Enabled">
    <vt:lpwstr>True</vt:lpwstr>
  </property>
  <property fmtid="{D5CDD505-2E9C-101B-9397-08002B2CF9AE}" pid="6" name="MSIP_Label_e72a09c5-6e26-4737-a926-47ef1ab198ae_Extended_MSFT_Method">
    <vt:lpwstr>Automatic</vt:lpwstr>
  </property>
  <property fmtid="{D5CDD505-2E9C-101B-9397-08002B2CF9AE}" pid="7" name="MSIP_Label_e72a09c5-6e26-4737-a926-47ef1ab198ae_Name">
    <vt:lpwstr>Confidentiel</vt:lpwstr>
  </property>
  <property fmtid="{D5CDD505-2E9C-101B-9397-08002B2CF9AE}" pid="8" name="MSIP_Label_e72a09c5-6e26-4737-a926-47ef1ab198ae_Owner">
    <vt:lpwstr>charlotte.henin@spw.wallonie.be</vt:lpwstr>
  </property>
  <property fmtid="{D5CDD505-2E9C-101B-9397-08002B2CF9AE}" pid="9" name="MSIP_Label_e72a09c5-6e26-4737-a926-47ef1ab198ae_SetDate">
    <vt:lpwstr>2019-11-14T10:50:01.1896708Z</vt:lpwstr>
  </property>
  <property fmtid="{D5CDD505-2E9C-101B-9397-08002B2CF9AE}" pid="10" name="MSIP_Label_e72a09c5-6e26-4737-a926-47ef1ab198ae_SiteId">
    <vt:lpwstr>1f816a84-7aa6-4a56-b22a-7b3452fa8681</vt:lpwstr>
  </property>
  <property fmtid="{D5CDD505-2E9C-101B-9397-08002B2CF9AE}" pid="11" name="Sensitivity">
    <vt:lpwstr>Confidentiel</vt:lpwstr>
  </property>
</Properties>
</file>