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-197485</wp:posOffset>
            </wp:positionH>
            <wp:positionV relativeFrom="paragraph">
              <wp:posOffset>160020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portant exclusivement sur la modification de la destination de tout ou partie d’un bien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7° du CoDT ou sur la modification de la répartition des surfaces de vente et des activités commerciales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8° du CoDT</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r>
        <w:rPr>
          <w:rStyle w:val="Style135pt"/>
          <w:rFonts w:ascii="Calibri" w:hAnsi="Calibri" w:asciiTheme="minorHAnsi" w:hAnsiTheme="minorHAnsi"/>
          <w:sz w:val="22"/>
          <w:szCs w:val="22"/>
        </w:rPr>
        <w: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d’urbanisme</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performance énergétique des bâtiments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ascii="Calibri" w:hAnsi="Calibri" w:asciiTheme="minorHAnsi" w:hAnsiTheme="minorHAnsi"/>
        </w:rPr>
        <w:t>Le ou les documents requis en vertu du décret PEB et de ses arrêtés</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12 -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rPr>
      </w:pPr>
      <w:r>
        <w:rPr>
          <w:rStyle w:val="Style135pt"/>
          <w:rFonts w:ascii="Calibri" w:hAnsi="Calibri" w:asciiTheme="minorHAnsi" w:hAnsiTheme="minorHAnsi"/>
          <w:b/>
          <w:sz w:val="22"/>
        </w:rPr>
        <w:t>La liste des documents à déposer en quatre exemplaires (+1 exemplaire par avis à solliciter)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0" w:name="CaseACocher66"/>
      <w:bookmarkStart w:id="1" w:name="CaseACocher66"/>
      <w:bookmarkEnd w:id="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 xml:space="preserve">un plan qui figure </w:t>
      </w:r>
      <w:r>
        <w:rPr>
          <w:rFonts w:ascii="Calibri" w:hAnsi="Calibri" w:asciiTheme="minorHAnsi" w:hAnsiTheme="minorHAnsi"/>
          <w:sz w:val="22"/>
          <w:szCs w:val="22"/>
        </w:rPr>
        <w:t>le contexte urbanistique et paysager établi à l'échelle de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de 1/500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et qui figure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 w:name="CaseACocher67"/>
      <w:bookmarkStart w:id="3" w:name="CaseACocher67"/>
      <w:bookmarkEnd w:id="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l'orientation ;</w:t>
      </w:r>
    </w:p>
    <w:p>
      <w:pPr>
        <w:pStyle w:val="StylePremireligne063cm"/>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 w:name="CaseACocher68"/>
      <w:bookmarkStart w:id="5" w:name="CaseACocher68"/>
      <w:bookmarkEnd w:id="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 w:name="CaseACocher69"/>
      <w:bookmarkStart w:id="7" w:name="CaseACocher69"/>
      <w:bookmarkEnd w:id="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dans un rayon de cinquante mètres de celui-ci, l'implantation, la nature ou l'affectation des constructions existantes sur le bien concerné ;</w:t>
      </w:r>
    </w:p>
    <w:p>
      <w:pPr>
        <w:pStyle w:val="StylePremireligne063cm"/>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8" w:name="CaseACocher70"/>
      <w:bookmarkStart w:id="9" w:name="CaseACocher70"/>
      <w:bookmarkEnd w:id="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0" w:name="CaseACocher70_Copie_1"/>
      <w:bookmarkStart w:id="11" w:name="CaseACocher70_Copie_1"/>
      <w:bookmarkEnd w:id="1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l'indication des emplacements des aires de stationnement pour véhicules dans un rayon de cent mètres de chacune des limites de la parcelle concernée ;</w:t>
      </w:r>
    </w:p>
    <w:p>
      <w:pPr>
        <w:pStyle w:val="StylePremireligne063cm"/>
        <w:ind w:left="705" w:hanging="705"/>
        <w:rPr>
          <w:rStyle w:val="Style135ptItalique"/>
          <w:rFonts w:ascii="Calibri" w:hAnsi="Calibri" w:asciiTheme="minorHAnsi" w:hAnsiTheme="minorHAnsi"/>
          <w:i w:val="false"/>
          <w:i w:val="false"/>
          <w:sz w:val="22"/>
          <w:szCs w:val="22"/>
        </w:rPr>
      </w:pPr>
      <w:r>
        <w:rPr>
          <w:rFonts w:asciiTheme="minorHAnsi" w:hAnsiTheme="minorHAnsi" w:ascii="Calibri" w:hAnsi="Calibri"/>
          <w:i w:val="false"/>
          <w:sz w:val="22"/>
          <w:szCs w:val="22"/>
        </w:rPr>
      </w:r>
    </w:p>
    <w:p>
      <w:pPr>
        <w:pStyle w:val="StylePremireligne063cm"/>
        <w:ind w:left="705"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2" w:name="CaseACocher71"/>
      <w:bookmarkStart w:id="13" w:name="CaseACocher71"/>
      <w:bookmarkEnd w:id="1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4" w:name="CaseACocher72"/>
      <w:bookmarkStart w:id="15" w:name="CaseACocher72"/>
      <w:bookmarkEnd w:id="1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ind w:left="1418" w:hanging="713"/>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6" w:name="CaseACocher73"/>
      <w:bookmarkStart w:id="17" w:name="CaseACocher73"/>
      <w:bookmarkEnd w:id="1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rStyle w:val="Style135pt"/>
          <w:rFonts w:ascii="Calibri" w:hAnsi="Calibri" w:asciiTheme="minorHAnsi" w:hAnsiTheme="minorHAnsi"/>
          <w:i/>
          <w: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8" w:name="CaseACocher74"/>
      <w:bookmarkStart w:id="19" w:name="CaseACocher74"/>
      <w:bookmarkEnd w:id="19"/>
      <w:r>
        <w:rPr>
          <w:rFonts w:ascii="Calibri" w:hAnsi="Calibri"/>
          <w:sz w:val="22"/>
          <w:szCs w:val="22"/>
        </w:rPr>
      </w:r>
      <w:r>
        <w:rPr>
          <w:sz w:val="22"/>
          <w:szCs w:val="22"/>
          <w:rFonts w:ascii="Calibri" w:hAnsi="Calibri"/>
        </w:rPr>
        <w:fldChar w:fldCharType="end"/>
      </w:r>
      <w:r>
        <w:rPr>
          <w:rStyle w:val="Style135ptItalique"/>
          <w:rFonts w:ascii="Calibri" w:hAnsi="Calibri" w:asciiTheme="minorHAnsi" w:hAnsiTheme="minorHAnsi"/>
          <w:sz w:val="22"/>
          <w:szCs w:val="22"/>
        </w:rPr>
        <w:t xml:space="preserve"> </w:t>
        <w:tab/>
      </w:r>
      <w:r>
        <w:rPr>
          <w:rStyle w:val="Style135ptItalique"/>
          <w:rFonts w:ascii="Calibri" w:hAnsi="Calibri" w:asciiTheme="minorHAnsi" w:hAnsiTheme="minorHAnsi"/>
          <w:i w:val="false"/>
          <w:sz w:val="22"/>
          <w:szCs w:val="22"/>
        </w:rPr>
        <w:t>un plan représentant l'occupation de la parcelle et qui figure :</w:t>
      </w:r>
    </w:p>
    <w:p>
      <w:pPr>
        <w:pStyle w:val="StylePremireligne063cm"/>
        <w:ind w:firstLine="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0" w:name="CaseACocher75"/>
      <w:bookmarkStart w:id="21" w:name="CaseACocher75"/>
      <w:bookmarkEnd w:id="2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limites de la parcelle concernée ;</w:t>
      </w:r>
    </w:p>
    <w:p>
      <w:pPr>
        <w:pStyle w:val="StylePremireligne063cm"/>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2" w:name="CaseACocher76"/>
      <w:bookmarkStart w:id="23" w:name="CaseACocher76"/>
      <w:bookmarkEnd w:id="2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4" w:name="CaseACocher77"/>
      <w:bookmarkStart w:id="25" w:name="CaseACocher77"/>
      <w:bookmarkEnd w:id="2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ab/>
        <w:t>les servitudes du fait de l'homme sur le terrain ;</w:t>
      </w:r>
    </w:p>
    <w:p>
      <w:pPr>
        <w:pStyle w:val="StylePremireligne063cm"/>
        <w:ind w:left="1413"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6" w:name="CaseACocher79"/>
      <w:bookmarkStart w:id="27" w:name="CaseACocher79"/>
      <w:bookmarkEnd w:id="2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les plantations ;</w:t>
      </w:r>
    </w:p>
    <w:p>
      <w:pPr>
        <w:pStyle w:val="StylePremireligne063cm"/>
        <w:ind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8" w:name="CaseACocher82"/>
      <w:bookmarkStart w:id="29" w:name="CaseACocher82"/>
      <w:bookmarkEnd w:id="2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l'aménagement des abords maintenus ou projetés du solde de la parcelle concernée.</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rStyle w:val="Style135pt"/>
          <w:rFonts w:ascii="Calibri" w:hAnsi="Calibri" w:asciiTheme="minorHAnsi" w:hAnsiTheme="minorHAnsi"/>
          <w:strike/>
          <w:sz w:val="22"/>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30" w:name="CaseACocher3"/>
      <w:bookmarkStart w:id="31" w:name="CaseACocher3"/>
      <w:bookmarkEnd w:id="3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rStyle w:val="Style135pt"/>
          <w:rFonts w:ascii="Calibri" w:hAnsi="Calibri" w:asciiTheme="minorHAnsi" w:hAnsiTheme="minorHAnsi"/>
          <w:sz w:val="22"/>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32" w:name="CaseACocher3_Copie_1"/>
      <w:bookmarkStart w:id="33" w:name="CaseACocher3_Copie_1"/>
      <w:bookmarkEnd w:id="3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 xml:space="preserve"> </w:t>
      </w:r>
      <w:r>
        <w:rPr>
          <w:rStyle w:val="Style135pt"/>
          <w:rFonts w:ascii="Calibri" w:hAnsi="Calibri" w:asciiTheme="minorHAnsi" w:hAnsiTheme="minorHAnsi"/>
          <w:sz w:val="22"/>
        </w:rPr>
        <w:t>une vue en plan de chaque niveau ainsi que l'affectation actuelle et future des locaux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uto" w:line="276"/>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Normal"/>
        <w:rPr>
          <w:rFonts w:ascii="Calibri" w:hAnsi="Calibri" w:eastAsia="Times New Roman" w:cs="Times" w:asciiTheme="minorHAnsi" w:hAnsiTheme="minorHAnsi"/>
          <w:b/>
          <w:color w:val="000000"/>
          <w:lang w:eastAsia="fr-BE"/>
        </w:rPr>
      </w:pPr>
      <w:r>
        <w:rPr>
          <w:rFonts w:eastAsia="Times New Roman" w:cs="Times" w:ascii="Calibri" w:hAnsi="Calibri"/>
          <w:b/>
          <w:color w:val="000000"/>
          <w:lang w:eastAsia="fr-BE"/>
        </w:rPr>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center"/>
        <w:rPr>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umrotation"/>
        <w:numPr>
          <w:ilvl w:val="3"/>
          <w:numId w:val="3"/>
        </w:numPr>
        <w:tabs>
          <w:tab w:val="clear" w:pos="708"/>
          <w:tab w:val="left" w:pos="0" w:leader="none"/>
        </w:tabs>
        <w:spacing w:before="0" w:after="120"/>
        <w:ind w:left="0" w:hanging="0"/>
        <w:jc w:val="center"/>
        <w:rPr>
          <w:rFonts w:ascii="Calibri" w:hAnsi="Calibri" w:asciiTheme="minorHAnsi" w:hAnsiTheme="minorHAnsi"/>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4811865"/>
    </w:sdtPr>
    <w:sdtContent>
      <w:p>
        <w:pPr>
          <w:pStyle w:val="Pieddepage"/>
          <w:jc w:val="center"/>
          <w:rPr/>
        </w:pPr>
        <w:r>
          <w:rPr/>
          <w:fldChar w:fldCharType="begin"/>
        </w:r>
        <w:r>
          <w:rPr/>
          <w:instrText xml:space="preserve"> PAGE </w:instrText>
        </w:r>
        <w:r>
          <w:rPr/>
          <w:fldChar w:fldCharType="separate"/>
        </w:r>
        <w:r>
          <w:rPr/>
          <w:t>10</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83177960"/>
    </w:sdtPr>
    <w:sdtContent>
      <w:p>
        <w:pPr>
          <w:pStyle w:val="Pieddepage"/>
          <w:jc w:val="center"/>
          <w:rPr/>
        </w:pPr>
        <w:r>
          <w:rPr/>
          <w:fldChar w:fldCharType="begin"/>
        </w:r>
        <w:r>
          <w:rPr/>
          <w:instrText xml:space="preserve">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5</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decimal"/>
      <w:lvlText w:val="Art. %1. "/>
      <w:lvlJc w:val="left"/>
      <w:pPr>
        <w:tabs>
          <w:tab w:val="num" w:pos="1560"/>
        </w:tabs>
        <w:ind w:left="1220" w:hanging="794"/>
      </w:pPr>
      <w:rPr>
        <w:sz w:val="22"/>
        <w:i w:val="false"/>
        <w:u w:val="single"/>
        <w:b/>
        <w:rFonts w:ascii="Arial" w:hAnsi="Arial"/>
      </w:rPr>
    </w:lvl>
    <w:lvl w:ilvl="1">
      <w:start w:val="1"/>
      <w:numFmt w:val="decimal"/>
      <w:lvlText w:val="§ %2. "/>
      <w:lvlJc w:val="left"/>
      <w:pPr>
        <w:tabs>
          <w:tab w:val="num" w:pos="680"/>
        </w:tabs>
        <w:ind w:left="680" w:firstLine="114"/>
      </w:pPr>
      <w:rPr/>
    </w:lvl>
    <w:lvl w:ilvl="2">
      <w:start w:val="1"/>
      <w:numFmt w:val="decimal"/>
      <w:lvlText w:val="%3° "/>
      <w:lvlJc w:val="left"/>
      <w:pPr>
        <w:tabs>
          <w:tab w:val="num" w:pos="680"/>
        </w:tabs>
        <w:ind w:left="680" w:hanging="0"/>
      </w:pPr>
      <w:r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rPr/>
    </w:lvl>
    <w:lvl w:ilvl="5">
      <w:start w:val="1"/>
      <w:numFmt w:val="decimal"/>
      <w:lvlText w:val="%1.%2.%3.%4.%5.%6."/>
      <w:lvlJc w:val="left"/>
      <w:pPr>
        <w:tabs>
          <w:tab w:val="num" w:pos="324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432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Annotationtext"/>
    <w:uiPriority w:val="99"/>
    <w:qFormat/>
    <w:rsid w:val="00f16295"/>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f16295"/>
    <w:rPr/>
  </w:style>
  <w:style w:type="character" w:styleId="TextedebullesCar" w:customStyle="1">
    <w:name w:val="Texte de bulles Car"/>
    <w:basedOn w:val="DefaultParagraphFont"/>
    <w:link w:val="BalloonText"/>
    <w:uiPriority w:val="99"/>
    <w:semiHidden/>
    <w:qFormat/>
    <w:rsid w:val="00f85d61"/>
    <w:rPr>
      <w:rFonts w:ascii="Tahoma" w:hAnsi="Tahoma" w:cs="Tahoma"/>
      <w:sz w:val="16"/>
      <w:szCs w:val="16"/>
    </w:rPr>
  </w:style>
  <w:style w:type="character" w:styleId="ObjetducommentaireCar" w:customStyle="1">
    <w:name w:val="Objet du commentaire Car"/>
    <w:basedOn w:val="CommentaireCar"/>
    <w:link w:val="Annotationsubject"/>
    <w:uiPriority w:val="99"/>
    <w:semiHidden/>
    <w:qFormat/>
    <w:rsid w:val="00640e29"/>
    <w:rPr>
      <w:rFonts w:ascii="Calibri" w:hAnsi="Calibri" w:asciiTheme="minorHAnsi" w:hAnsiTheme="minorHAnsi"/>
      <w:b/>
      <w:bCs/>
      <w:sz w:val="20"/>
      <w:szCs w:val="20"/>
    </w:rPr>
  </w:style>
  <w:style w:type="character" w:styleId="A4" w:customStyle="1">
    <w:name w:val="A4"/>
    <w:uiPriority w:val="99"/>
    <w:qFormat/>
    <w:rsid w:val="00a45901"/>
    <w:rPr>
      <w:color w:val="000000"/>
      <w:sz w:val="11"/>
      <w:szCs w:val="11"/>
    </w:rPr>
  </w:style>
  <w:style w:type="character" w:styleId="LienInternet">
    <w:name w:val="Hyperlink"/>
    <w:basedOn w:val="DefaultParagraphFont"/>
    <w:uiPriority w:val="99"/>
    <w:unhideWhenUsed/>
    <w:rsid w:val="008179fe"/>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f16295"/>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796b20"/>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f85d61"/>
    <w:pPr/>
    <w:rPr>
      <w:rFonts w:ascii="Tahoma" w:hAnsi="Tahoma" w:cs="Tahoma"/>
      <w:sz w:val="16"/>
      <w:szCs w:val="16"/>
    </w:rPr>
  </w:style>
  <w:style w:type="paragraph" w:styleId="Tirets" w:customStyle="1">
    <w:name w:val="Tirets"/>
    <w:basedOn w:val="Textecourant"/>
    <w:qFormat/>
    <w:rsid w:val="005004cc"/>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640e29"/>
    <w:pPr>
      <w:spacing w:before="0" w:after="0"/>
      <w:ind w:hanging="0"/>
    </w:pPr>
    <w:rPr>
      <w:rFonts w:ascii="Verdana" w:hAnsi="Verdana"/>
      <w:b/>
      <w:bCs/>
    </w:rPr>
  </w:style>
  <w:style w:type="paragraph" w:styleId="Pa5" w:customStyle="1">
    <w:name w:val="Pa5"/>
    <w:basedOn w:val="Normal"/>
    <w:next w:val="Normal"/>
    <w:uiPriority w:val="99"/>
    <w:qFormat/>
    <w:rsid w:val="00a45901"/>
    <w:pPr>
      <w:spacing w:lineRule="atLeast" w:line="191"/>
    </w:pPr>
    <w:rPr>
      <w:rFonts w:ascii="Times" w:hAnsi="Times" w:cs="Times"/>
      <w:sz w:val="24"/>
      <w:szCs w:val="24"/>
    </w:rPr>
  </w:style>
  <w:style w:type="paragraph" w:styleId="NormalWeb">
    <w:name w:val="Normal (Web)"/>
    <w:basedOn w:val="Normal"/>
    <w:uiPriority w:val="99"/>
    <w:unhideWhenUsed/>
    <w:qFormat/>
    <w:rsid w:val="00a45901"/>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81D06-0453-4022-8D21-07979BB55EA4}">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F02D75BC-30C9-4665-9783-55FCDE223A97}">
  <ds:schemaRefs>
    <ds:schemaRef ds:uri="http://schemas.microsoft.com/sharepoint/v3/contenttype/forms"/>
  </ds:schemaRefs>
</ds:datastoreItem>
</file>

<file path=customXml/itemProps3.xml><?xml version="1.0" encoding="utf-8"?>
<ds:datastoreItem xmlns:ds="http://schemas.openxmlformats.org/officeDocument/2006/customXml" ds:itemID="{2CD07F63-8CB4-44D8-A551-266D6805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LibreOffice/7.5.5.2$Windows_X86_64 LibreOffice_project/ca8fe7424262805f223b9a2334bc7181abbcbf5e</Application>
  <AppVersion>15.0000</AppVersion>
  <Pages>10</Pages>
  <Words>2620</Words>
  <Characters>16101</Characters>
  <CharactersWithSpaces>18685</CharactersWithSpaces>
  <Paragraphs>175</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2024-05-17T06:33:00Z</dcterms:created>
  <dc:creator>DESPAGNE</dc:creator>
  <dc:description/>
  <dc:language>fr-BE</dc:language>
  <cp:lastModifiedBy/>
  <dcterms:modified xsi:type="dcterms:W3CDTF">2024-06-11T14:27:34Z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48716f91-7f42-4998-8ef8-3fea7284e58d</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2019-11-14T10:17:46.7463616Z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